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DF54B9" w:rsidRPr="00876108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DF54B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ОДОБРЯВАМ:</w:t>
      </w:r>
      <w:r w:rsidR="0087610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/</w:t>
      </w:r>
      <w:r w:rsidR="00876108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П/</w:t>
      </w:r>
    </w:p>
    <w:p w:rsidR="00DF54B9" w:rsidRP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DF54B9" w:rsidRP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DF54B9" w:rsidRP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DF54B9" w:rsidRP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DF54B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ВЕСЕЛИН ВАСИЛЕВ</w:t>
      </w:r>
    </w:p>
    <w:p w:rsidR="00DF54B9" w:rsidRPr="00DF54B9" w:rsidRDefault="00DF54B9" w:rsidP="00DF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DF54B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ИЗПЪЛНИТЕЛЕН ДИРЕКТОР НА</w:t>
      </w:r>
    </w:p>
    <w:p w:rsidR="00DF54B9" w:rsidRDefault="00DF54B9" w:rsidP="007117F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F54B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ИА „ЖЕЛЕЗОПЪТНА АДМИНИСТРАЦИЯ“</w:t>
      </w:r>
    </w:p>
    <w:p w:rsidR="00DF54B9" w:rsidRDefault="00DF54B9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F54B9" w:rsidRDefault="00DF54B9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F54B9" w:rsidRDefault="00DF54B9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F54B9" w:rsidRDefault="00DF54B9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F54B9" w:rsidRDefault="00DF54B9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5F7550" w:rsidRPr="005F7550" w:rsidRDefault="00206FC3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ПРИНЦИПИ</w:t>
      </w:r>
      <w:r w:rsidR="005F7550" w:rsidRPr="005F7550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40658B" w:rsidRPr="00C71F67" w:rsidRDefault="005F7550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F7550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ЗА ОСВОБОЖДАВАНЕ НА</w:t>
      </w:r>
      <w:r w:rsidRPr="005F7550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5F7550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ОПЕРАТОР НА </w:t>
      </w:r>
      <w:r w:rsidRPr="005F7550">
        <w:rPr>
          <w:rFonts w:ascii="Times New Roman" w:eastAsia="Times New Roman" w:hAnsi="Times New Roman" w:cs="Times New Roman"/>
          <w:b/>
          <w:bCs/>
          <w:sz w:val="40"/>
          <w:szCs w:val="40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ОБСЛУЖВАЩО СЪОРЪЖЕНИЕ</w:t>
      </w:r>
    </w:p>
    <w:p w:rsidR="00505A7B" w:rsidRPr="00C71F67" w:rsidRDefault="00505A7B" w:rsidP="005F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5F7550" w:rsidRPr="00107690" w:rsidRDefault="005F7550" w:rsidP="0010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0658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СЪГЛАСНО ИЗИСКВАНИЯТА НА ЧЛ. 2 НА РЕГЛАМЕНТ ЗА ИЗПЪЛНЕНИЕ (EС) 2017/2177 НА КОМИСИЯТА</w:t>
      </w:r>
      <w:r w:rsidR="0040658B" w:rsidRPr="00A04B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40658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22 НОЕМВРИ 2017 ГОДИНА</w:t>
      </w:r>
      <w:r w:rsidR="00107690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40658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ОТНОСНО ДОСТЪПА ДО ОБСЛУЖВАЩИ СЪОРЪЖЕНИЯ И СВЪРЗАНИ С ЖЕЛЕЗОПЪТНИТЕ ДЕЙНОСТИ УСЛУГИ</w:t>
      </w:r>
    </w:p>
    <w:p w:rsidR="005F7550" w:rsidRPr="005F7550" w:rsidRDefault="005F7550" w:rsidP="005F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7550" w:rsidRPr="005F7550" w:rsidRDefault="005F7550" w:rsidP="005F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Default="00DF54B9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54B9" w:rsidRPr="007117F7" w:rsidRDefault="00DF54B9" w:rsidP="008A07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117F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2019 г.</w:t>
      </w:r>
    </w:p>
    <w:p w:rsidR="00FF0564" w:rsidRDefault="00FF0564" w:rsidP="008A0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Настоящите </w:t>
      </w:r>
      <w:bookmarkStart w:id="0" w:name="_GoBack"/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принципи </w:t>
      </w:r>
      <w:r w:rsidR="00071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вземане на решени</w:t>
      </w:r>
      <w:r w:rsidR="00071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освобождаване на операторите на обслужващите съоръжения </w:t>
      </w:r>
      <w:bookmarkEnd w:id="0"/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 разработени от Изпълнителна агенция ,,Железопътна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администрация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(ИАЖА) в качеството </w:t>
      </w:r>
      <w:r w:rsidR="00071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й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регулаторен орган </w:t>
      </w:r>
      <w:r w:rsidR="00984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железопътния транспорт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Република България и в изпълнение на чл. 2, </w:t>
      </w:r>
      <w:r w:rsidR="000E4D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пар.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 и </w:t>
      </w:r>
      <w:r w:rsidR="000E4D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пар.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 от Регламент за изпълнение (EС) 2017/2177 на Комисията относно достъпа до обслужващи съоръжения и свързани с железопътните дейности услуги (Регламент </w:t>
      </w:r>
      <w:r w:rsidR="005053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FA0E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2177). Публичността се </w:t>
      </w:r>
      <w:r w:rsidR="00071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осигурява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чрез </w:t>
      </w:r>
      <w:r w:rsidR="00071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публикуването им на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уебсайта на ИАЖА.</w:t>
      </w: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Нормативна база</w:t>
      </w: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Условията и редът за достъп и използ</w:t>
      </w:r>
      <w:r w:rsidR="001076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ване на обслужващите съоръжения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предоставяните в тях железопътни услуги на територията на Република България са регламентирани в Закона за железопътния транспорт (ЗЖТ) и в Наредба №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достъп и използване на железопътната инфраструктура</w:t>
      </w:r>
      <w:r w:rsidR="00E94F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E94FCA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E94FCA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="00E94F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които са транспонирани съответните разпоредби на Директива 2012/34/ЕС на Европейския парламент и на Съвета за създаване на единно европейско железопътно пространство.</w:t>
      </w: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Регламент </w:t>
      </w:r>
      <w:r w:rsidR="005053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 регламентирани единните изисквания относно процедурата и критериите, които трябва да бъдат спазвани при даване на достъп до услугите, предоставяни в обслужващите съоръжения, свързани с железопътния транспорт</w:t>
      </w:r>
      <w:r w:rsidR="009A7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рамките на Европейския съюз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 с това е предоставена възможност на операторите на обслужващи съоръжения да се освободят от прилагането на всички или някои от разпоредбите му.</w:t>
      </w: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Обхват</w:t>
      </w:r>
    </w:p>
    <w:p w:rsidR="005F7550" w:rsidRPr="005F7550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съответствие с чл. 2, </w:t>
      </w:r>
      <w:r w:rsidR="0078453A">
        <w:rPr>
          <w:rFonts w:ascii="Times New Roman" w:eastAsia="Calibri" w:hAnsi="Times New Roman" w:cs="Times New Roman"/>
          <w:sz w:val="24"/>
          <w:szCs w:val="24"/>
          <w:lang w:val="bg-BG"/>
        </w:rPr>
        <w:t>пар</w:t>
      </w:r>
      <w:r w:rsidR="005346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7717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 </w:t>
      </w:r>
      <w:r w:rsidR="0050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Регламент </w:t>
      </w:r>
      <w:r w:rsidR="005053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50534D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</w:t>
      </w:r>
      <w:r w:rsidR="00E94FCA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ИАЖА като регулаторен орган</w:t>
      </w:r>
      <w:r w:rsidR="00984FA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84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железопътния транспорт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, взема решение за освобождаване на операторите индивидуално за всеки отделен случай по видове обслужващи съоръжения</w:t>
      </w:r>
      <w:r w:rsidRPr="005F755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к</w:t>
      </w:r>
      <w:r w:rsidR="00D43E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оито са определени в Приложение </w:t>
      </w:r>
      <w:r w:rsidRPr="005F755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1 на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Pr="005F755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а именно:</w:t>
      </w:r>
    </w:p>
    <w:p w:rsidR="005F7550" w:rsidRPr="00EC0957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EC0957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пътнически гари, техните сгради и други съоръжения, </w:t>
      </w:r>
      <w:r w:rsidR="00D004BA" w:rsidRPr="00EC0957">
        <w:rPr>
          <w:rFonts w:ascii="Times New Roman" w:hAnsi="Times New Roman" w:cs="Times New Roman"/>
          <w:sz w:val="24"/>
          <w:szCs w:val="24"/>
          <w:lang w:val="bg-BG"/>
        </w:rPr>
        <w:t>включително информационни табла с данни за пътуването и подходящо място за билетно обслужване</w:t>
      </w:r>
      <w:r w:rsidRPr="00EC0957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;</w:t>
      </w:r>
    </w:p>
    <w:p w:rsidR="005F7550" w:rsidRPr="005F7550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EC0957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товарни терминали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;</w:t>
      </w:r>
    </w:p>
    <w:p w:rsidR="005F7550" w:rsidRPr="005F7550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разпределителни гари и съоръжения за композиране на влакове, в това число съоръжения за маневриране;</w:t>
      </w:r>
    </w:p>
    <w:p w:rsidR="005F7550" w:rsidRPr="005F7550" w:rsidRDefault="005F7550" w:rsidP="00E94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странични коловози за гариране;</w:t>
      </w:r>
    </w:p>
    <w:p w:rsidR="005F7550" w:rsidRPr="005F7550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съоръжения за поддръжка, с изключение на съоръжения за тежка поддръжка, предназначени за високоскоростни влакове или други видове подвижен състав, изискващ специални съоръжения;</w:t>
      </w:r>
    </w:p>
    <w:p w:rsidR="005F7550" w:rsidRPr="00F43CCF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други технически съоръжения, включително вагонни везни, съоръжения за </w:t>
      </w:r>
      <w:r w:rsidRPr="00F43CC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дезинфекция, почистване и измиване;</w:t>
      </w:r>
    </w:p>
    <w:p w:rsidR="005F7550" w:rsidRPr="00F43CCF" w:rsidRDefault="00E04ECC" w:rsidP="00E94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F43CCF">
        <w:rPr>
          <w:rFonts w:ascii="Times New Roman" w:hAnsi="Times New Roman" w:cs="Times New Roman"/>
          <w:sz w:val="24"/>
          <w:szCs w:val="24"/>
          <w:lang w:val="bg-BG"/>
        </w:rPr>
        <w:t>съоръжения, свързани с железопътните дейности в морски и вътрешни пристанища;</w:t>
      </w:r>
    </w:p>
    <w:p w:rsidR="005F7550" w:rsidRPr="005F7550" w:rsidRDefault="005F7550" w:rsidP="00E94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F43CC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съоръжения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за осигуряване на техническа помощ;</w:t>
      </w:r>
    </w:p>
    <w:p w:rsidR="005F7550" w:rsidRPr="005F7550" w:rsidRDefault="005F7550" w:rsidP="000E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съоръжения за зареждане на гориво и доставката на гориво в тези съоръжения, таксите за което са представени във фактурата отделно.</w:t>
      </w:r>
    </w:p>
    <w:p w:rsidR="005F7550" w:rsidRDefault="005F7550" w:rsidP="005F75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При вземането на решение за освобождаване на оператор на обслужващо съоръжение, се има предвид, че е възможно няколко стопански субекта да управляват и стопанисват едно и също обслужващо съоръжение.</w:t>
      </w:r>
      <w:r w:rsidR="00E94FCA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В този случай, за оператор се счита само онзи стопански субект, който реално отговаря за предоставяне на информацията и за вземане на решение по отношение на заявките за достъп до обслужващото съоръжение и за ползване на свързани с железопътните дейности услуги.</w:t>
      </w:r>
    </w:p>
    <w:p w:rsidR="001822B8" w:rsidRPr="005F7550" w:rsidRDefault="001822B8" w:rsidP="005F75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</w:p>
    <w:p w:rsidR="005F7550" w:rsidRPr="00C71F67" w:rsidRDefault="00AF067E" w:rsidP="005F75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71F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F7550" w:rsidRPr="00C71F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Режим на освобождаване</w:t>
      </w:r>
    </w:p>
    <w:p w:rsidR="00932ED9" w:rsidRPr="009D410E" w:rsidRDefault="00932ED9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Разпоредбите, регламентиращи част от описанието на обслужващото съоръжение и публикуването му са задължителни </w:t>
      </w:r>
      <w:r w:rsidR="00A14D37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A14D37" w:rsidRPr="009D410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Регламент </w:t>
      </w:r>
      <w:r w:rsidR="00A14D37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 2177 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операторите на обслужващи съоръжения не могат да искат осво</w:t>
      </w:r>
      <w:r w:rsid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ождаване по тях, а именно</w:t>
      </w:r>
      <w:r w:rsidR="00A14D37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списък на всички инсталации, с които се предоставят свързани с железопътните дейности услуги, включително информация за техните местоположения и тяхното работно време</w:t>
      </w:r>
      <w:r w:rsidR="00A14D37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(чл. 4, пар. 2, б. „а“)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ключови данни как може да се влезе в контакт с оператора на обслужващото съоръжение</w:t>
      </w:r>
      <w:r w:rsidR="00204FA0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(чл. 4, пар. 2, б. „б“)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описание на техническите характеристики на обслужващото съоръжение, като например на страничните коловози или на маневрените и разпределителните коловози, на техническото оборудване за товарене и разтоварване, измиване, поддръжка и ремонт, както и на наличния складов капацитет; информация относно частните железопътни отклонения и странични коловози, които не са част от железопътната инфраструктура, но са необходими за достигане до обслужващи съоръжения, имащи съществено значение за предоставянето на железопътни транспортни услуги</w:t>
      </w:r>
      <w:r w:rsidR="00204FA0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(чл. 4, пар. 2, б. „в“)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описание на всички свързани с железопътните дейности услуги, които се предоставят в съоръжението, както и на техния тип (основни, допълнителни или спомагателни)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(чл.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4,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2,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б. „г“)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информация за изменения на начина на придобиване на достъп до обслужващите съоръжения и на таксите за ползване на всяка от предоставяните в тях свързани с железопътните дейности услуги </w:t>
      </w:r>
      <w:r w:rsidR="0080360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(чл. 4, пар. 2, б. „м“);</w:t>
      </w:r>
    </w:p>
    <w:p w:rsidR="005F7550" w:rsidRPr="009D410E" w:rsidRDefault="005F7550" w:rsidP="005F75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публикуване на описанието на обслужващото съоръжение</w:t>
      </w:r>
      <w:r w:rsidR="00204FA0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(чл. 5)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C54A9" w:rsidRDefault="00AC54A9" w:rsidP="00932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bg-BG" w:eastAsia="bg-BG"/>
        </w:rPr>
      </w:pPr>
    </w:p>
    <w:p w:rsidR="00932ED9" w:rsidRPr="005F7550" w:rsidRDefault="000510A9" w:rsidP="00932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Опе</w:t>
      </w:r>
      <w:r w:rsidR="0001603C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раторите </w:t>
      </w:r>
      <w:r w:rsidR="007B67F7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могат </w:t>
      </w:r>
      <w:r w:rsidR="00932ED9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поискат да бъдат освободени от прилагането на всички или на някои от разпоредбите на Регламент № 2177</w:t>
      </w:r>
      <w:r w:rsidR="00AC54A9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F7550" w:rsidRPr="005F7550" w:rsidRDefault="005F7550" w:rsidP="005F755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прилагането на всички разпоредби на Регламент </w:t>
      </w:r>
      <w:r w:rsidR="0050534D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="008F42BB"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2177 могат да поискат да бъдат освободени операторите на обслужващи съоръжения, които съществуват единствено за използване от оператори на ,,</w:t>
      </w:r>
      <w:r w:rsidRPr="005F75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представляващи историческо наследство железници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“ за техни собствени цели съгласно чл. 2, пар</w:t>
      </w:r>
      <w:r w:rsidR="005346B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 от Регламент </w:t>
      </w:r>
      <w:r w:rsidR="0050534D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="008F42BB"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2177.</w:t>
      </w:r>
    </w:p>
    <w:p w:rsidR="005F7550" w:rsidRDefault="005F7550" w:rsidP="001940D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Понятието „железници, представляващи историческо наследство“ следва да се разбира в широк смисъл, като се отнася до железопътни предприятия/железопътни превозвачи, експлоатиращи превозни средства, обслужващи съоръжения, и др., </w:t>
      </w:r>
      <w:r w:rsidRPr="00C736D2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използвани за малко</w:t>
      </w:r>
      <w:r w:rsidR="008F55DC" w:rsidRPr="00C736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736D2">
        <w:rPr>
          <w:rFonts w:ascii="Times New Roman" w:eastAsia="Calibri" w:hAnsi="Times New Roman" w:cs="Times New Roman"/>
          <w:sz w:val="24"/>
          <w:szCs w:val="24"/>
          <w:lang w:val="bg-BG"/>
        </w:rPr>
        <w:t>мащабни операции с музейни пътнически или товарни превозни средства, предназначени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</w:t>
      </w:r>
      <w:r w:rsidRPr="005F75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„културно-исторически, образователно-демонстрационни, туристически или развлекателни цели, свързани с железопътния транспорт“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според Групата на независимите регулаторни органи (</w:t>
      </w:r>
      <w:r w:rsidRPr="005F7550">
        <w:rPr>
          <w:rFonts w:ascii="Times New Roman" w:eastAsia="Times New Roman" w:hAnsi="Times New Roman" w:cs="Times New Roman"/>
          <w:sz w:val="24"/>
          <w:szCs w:val="20"/>
          <w:lang w:eastAsia="bg-BG"/>
        </w:rPr>
        <w:t>IRG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-</w:t>
      </w:r>
      <w:r w:rsidRPr="005F7550">
        <w:rPr>
          <w:rFonts w:ascii="Times New Roman" w:eastAsia="Times New Roman" w:hAnsi="Times New Roman" w:cs="Times New Roman"/>
          <w:sz w:val="24"/>
          <w:szCs w:val="20"/>
          <w:lang w:eastAsia="bg-BG"/>
        </w:rPr>
        <w:t>Rail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)</w:t>
      </w:r>
      <w:r w:rsidRPr="005F7550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 xml:space="preserve"> </w:t>
      </w:r>
      <w:r w:rsidRPr="005F75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footnoteReference w:id="1"/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</w:t>
      </w:r>
    </w:p>
    <w:p w:rsidR="005F7550" w:rsidRDefault="005F7550" w:rsidP="009D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Операторите на обслужващи съоръжения, които желаят да бъдат освободени 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прилагането на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няко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разпоредби на 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Регламент </w:t>
      </w:r>
      <w:r w:rsidR="008F42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 </w:t>
      </w:r>
      <w:r w:rsidR="00D401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2177,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именно: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360B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4, пар. 2, букви „д“, „е“, „ж“, „з“, „и“, „й“, „к“, „л“ и „н“</w:t>
      </w:r>
      <w:r w:rsidR="0080360B" w:rsidRP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230B5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подават писмено заявление до ИАЖА като искането им следва да бъде надлежно обосновано съобразно критериите за освобождаване. </w:t>
      </w:r>
      <w:r w:rsidR="008036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9D410E" w:rsidRDefault="009D410E" w:rsidP="009D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410E" w:rsidRPr="009D410E" w:rsidRDefault="005F7550" w:rsidP="007E3693">
      <w:pPr>
        <w:pStyle w:val="ListParagraph"/>
        <w:widowControl w:val="0"/>
        <w:numPr>
          <w:ilvl w:val="0"/>
          <w:numId w:val="12"/>
        </w:numPr>
        <w:tabs>
          <w:tab w:val="left" w:pos="99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Критерии за освобождаване на оператори на обслужващи съоръжения</w:t>
      </w:r>
    </w:p>
    <w:p w:rsidR="005F7550" w:rsidRPr="009D410E" w:rsidRDefault="005F7550" w:rsidP="007E36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Критерии за освобождаване на операторите на обслужващи съоръжения, експлоатиращи следните видове обслужващи съоръжения или предоставящи следните услуги съгласно чл.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2,</w:t>
      </w:r>
      <w:r w:rsidR="00C67A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пар</w:t>
      </w:r>
      <w:r w:rsidR="005346BD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 от Регламент </w:t>
      </w:r>
      <w:r w:rsidR="0050534D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75221B"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9D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2177:</w:t>
      </w:r>
    </w:p>
    <w:p w:rsidR="005F7550" w:rsidRPr="005F7550" w:rsidRDefault="005F7550" w:rsidP="00784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обслужващи съоръжения или услуги, които </w:t>
      </w: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нямат стратегическо значение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функционирането на пазара на железопътни транспортни услуги;</w:t>
      </w:r>
    </w:p>
    <w:p w:rsidR="005F7550" w:rsidRPr="005F7550" w:rsidRDefault="005F7550" w:rsidP="00990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обслужващи съоръжения или услуги, които съответно се експлоатират или предоставят в </w:t>
      </w: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конкурентна пазарна среда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наличие на разнообразни конкуренти, предлагащи сравними услуги;</w:t>
      </w:r>
    </w:p>
    <w:p w:rsidR="005F7550" w:rsidRPr="005F7550" w:rsidRDefault="005F7550" w:rsidP="00990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обслужващи съоръжения или услуги, в които прилагането на Регламент</w:t>
      </w:r>
      <w:r w:rsidR="005053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</w:t>
      </w:r>
      <w:r w:rsidR="007522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5053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би могло да повлияе </w:t>
      </w: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отрицателно на функционирането на пазара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обслужващите съоръжения.</w:t>
      </w:r>
    </w:p>
    <w:p w:rsidR="005F7550" w:rsidRPr="005F7550" w:rsidRDefault="005F7550" w:rsidP="005F75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7550" w:rsidRPr="00E07499" w:rsidRDefault="00AF067E" w:rsidP="00AF067E">
      <w:pPr>
        <w:widowControl w:val="0"/>
        <w:spacing w:after="240" w:line="260" w:lineRule="atLeast"/>
        <w:ind w:left="71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nl-NL"/>
        </w:rPr>
      </w:pPr>
      <w:r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 xml:space="preserve">4.1. </w:t>
      </w:r>
      <w:r w:rsidR="005F7550"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>Критерий</w:t>
      </w:r>
      <w:r w:rsidR="005F7550" w:rsidRPr="00E0749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nl-NL"/>
        </w:rPr>
        <w:t xml:space="preserve"> ,,Няма стратегическо значение“</w:t>
      </w:r>
    </w:p>
    <w:p w:rsidR="005F7550" w:rsidRDefault="005F7550" w:rsidP="005F755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Критерият ,,</w:t>
      </w:r>
      <w:r w:rsidR="00C661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</w:t>
      </w:r>
      <w:r w:rsidRPr="005F75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яма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F755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стратегическо значение“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изисква прилагането на икономически подход при определянето на дадено съоръжение или услуга, т.е. съоръжението или услугата може да бъде освободено, ако се счита, че </w:t>
      </w:r>
      <w:r w:rsidRPr="005F755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няма икономическа значимост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функционирането на пазара на железопътните транспортни услуги.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Стратегическото значение се оценява на база: степента на използване на съоръжението предвид неговото местоположение съгласно Наредбата за категоризацията на железопътните линии в България, включени в железопътната инфраструктура, и закриване на отделни линии или участъци от линии (Наредба за категоризацията на железопътните линии), приета с ПМС №</w:t>
      </w:r>
      <w:r w:rsidR="0075221B"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293 от 20.12.2001 г.,</w:t>
      </w:r>
      <w:r w:rsidR="00896308" w:rsidRPr="00674A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E6F4E">
        <w:rPr>
          <w:rFonts w:ascii="Times New Roman" w:eastAsia="Calibri" w:hAnsi="Times New Roman" w:cs="Times New Roman"/>
          <w:sz w:val="24"/>
          <w:szCs w:val="24"/>
          <w:lang w:val="bg-BG"/>
        </w:rPr>
        <w:t>реално извършена работа в</w:t>
      </w:r>
      <w:r w:rsidR="000E6F4E"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обслужващото съоръжение, </w:t>
      </w:r>
      <w:r w:rsidR="00990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както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вида и обема на потенциално засегнатия трафик.</w:t>
      </w:r>
    </w:p>
    <w:p w:rsidR="003E0FA8" w:rsidRDefault="00DE248B" w:rsidP="00A156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Въз основа на този критерий ИАЖА </w:t>
      </w:r>
      <w:r w:rsidR="00DF7A78">
        <w:rPr>
          <w:rFonts w:ascii="Times New Roman" w:eastAsia="Calibri" w:hAnsi="Times New Roman" w:cs="Times New Roman"/>
          <w:sz w:val="24"/>
          <w:szCs w:val="24"/>
          <w:lang w:val="bg-BG"/>
        </w:rPr>
        <w:t>не освобождава оператори</w:t>
      </w:r>
      <w:r w:rsidR="004A55AC" w:rsidRPr="004A55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4A55AC">
        <w:rPr>
          <w:rFonts w:ascii="Times New Roman" w:eastAsia="Calibri" w:hAnsi="Times New Roman" w:cs="Times New Roman"/>
          <w:sz w:val="24"/>
          <w:szCs w:val="24"/>
          <w:lang w:val="bg-BG"/>
        </w:rPr>
        <w:t>обслужващи съоръжения и/или</w:t>
      </w:r>
      <w:r w:rsidR="004A55AC" w:rsidRPr="004A55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услуги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>, които са</w:t>
      </w:r>
      <w:r w:rsidR="003E0FA8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3E0FA8" w:rsidRPr="00A04BD7" w:rsidRDefault="001070CD" w:rsidP="00A156F6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="00DF7A78" w:rsidRPr="003E0FA8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предоставяни от предприя</w:t>
      </w:r>
      <w:r w:rsidR="00D91802" w:rsidRPr="003E0FA8">
        <w:rPr>
          <w:rFonts w:ascii="Times New Roman" w:eastAsia="Calibri" w:hAnsi="Times New Roman" w:cs="Times New Roman"/>
          <w:sz w:val="24"/>
          <w:szCs w:val="24"/>
          <w:lang w:val="bg-BG"/>
        </w:rPr>
        <w:t>тия с господстващо положе</w:t>
      </w:r>
      <w:r w:rsidR="003E0FA8" w:rsidRPr="003E0FA8">
        <w:rPr>
          <w:rFonts w:ascii="Times New Roman" w:eastAsia="Calibri" w:hAnsi="Times New Roman" w:cs="Times New Roman"/>
          <w:sz w:val="24"/>
          <w:szCs w:val="24"/>
          <w:lang w:val="bg-BG"/>
        </w:rPr>
        <w:t>ние</w:t>
      </w:r>
      <w:r w:rsidR="003E0FA8" w:rsidRPr="00A04BD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682338" w:rsidRPr="00A04BD7" w:rsidRDefault="002B09A5" w:rsidP="007117F7">
      <w:pPr>
        <w:pStyle w:val="ListParagraph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 </w:t>
      </w:r>
      <w:r w:rsidR="003E0F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свързани </w:t>
      </w:r>
      <w:r w:rsidR="003E0FA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с</w:t>
      </w:r>
      <w:r w:rsidR="003E0FA8" w:rsidRPr="003E0FA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речни и морски пристанища с национално и регионално значение</w:t>
      </w:r>
      <w:r w:rsidR="001A7B35" w:rsidRPr="007117F7"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  <w:t>,</w:t>
      </w:r>
      <w:r w:rsidR="00BC65AA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="003E0FA8" w:rsidRPr="003E0FA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предоставя</w:t>
      </w:r>
      <w:r w:rsidR="00BC65AA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щи</w:t>
      </w:r>
      <w:r w:rsidR="003E0FA8" w:rsidRPr="003E0FA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услуги, свързани с железопътния транспорт</w:t>
      </w:r>
      <w:r w:rsidR="00DE248B" w:rsidRPr="00A04BD7"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  <w:t>.</w:t>
      </w:r>
    </w:p>
    <w:p w:rsidR="005F7550" w:rsidRPr="005F7550" w:rsidRDefault="005F7550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Критерият </w:t>
      </w:r>
      <w:r w:rsidRPr="006C1E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nl-NL"/>
        </w:rPr>
        <w:t>,,</w:t>
      </w:r>
      <w:r w:rsidR="006C1E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nl-NL"/>
        </w:rPr>
        <w:t>Н</w:t>
      </w:r>
      <w:r w:rsidRPr="006C1E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nl-NL"/>
        </w:rPr>
        <w:t>яма стратегическо значение</w:t>
      </w:r>
      <w:r w:rsidRPr="006C1E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nl-NL"/>
        </w:rPr>
        <w:t>“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е изпълнен, ако обслужващото съоръжение отговаря </w:t>
      </w:r>
      <w:r w:rsidR="003E0FA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на поне един от следните показатели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:</w:t>
      </w:r>
    </w:p>
    <w:p w:rsidR="005F7550" w:rsidRPr="00A04BD7" w:rsidRDefault="005F7550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-</w:t>
      </w:r>
      <w:r w:rsidRPr="005F755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="00DE248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м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естоположението на обслужващото съоръжение не попада в категорията на железопътните линии съгласно Приложения 1 и 2 от Наредбата за категори</w:t>
      </w:r>
      <w:r w:rsidR="00C51634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зацията на железопътните линии</w:t>
      </w:r>
      <w:r w:rsidR="00DE248B" w:rsidRPr="00A04BD7"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  <w:t>;</w:t>
      </w:r>
    </w:p>
    <w:p w:rsidR="005F7550" w:rsidRPr="00A04BD7" w:rsidRDefault="00DE248B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- </w:t>
      </w:r>
      <w:r w:rsidR="00A421EC" w:rsidRPr="00C71F67"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н</w:t>
      </w:r>
      <w:r w:rsidR="005F7550"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аличие на неизползван капацитет на обслужващото съоръжен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ие</w:t>
      </w:r>
      <w:r w:rsidRPr="00A04BD7"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  <w:t>;</w:t>
      </w:r>
    </w:p>
    <w:p w:rsidR="005F7550" w:rsidRPr="005F7550" w:rsidRDefault="0007484A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- </w:t>
      </w:r>
      <w:r w:rsidR="00DE248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н</w:t>
      </w:r>
      <w:r w:rsidR="005F7550"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аличие на алтернативни съоръжения, които предлагат същите услуги, свързани с железопътния транспорт. </w:t>
      </w:r>
    </w:p>
    <w:p w:rsidR="005F7550" w:rsidRPr="005F7550" w:rsidRDefault="005F7550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По критерия ,,</w:t>
      </w:r>
      <w:r w:rsidR="00DF7A7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Н</w:t>
      </w:r>
      <w:r w:rsidRPr="005F755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яма стратегическо значение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“ операторът на обслужващото съоръжение, желаещ освобождаване, попълва </w:t>
      </w:r>
      <w:r w:rsidRPr="005F755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Приложение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№</w:t>
      </w:r>
      <w:r w:rsidR="0075221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 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1 за в</w:t>
      </w:r>
      <w:r w:rsidR="00990396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ида на обслужващото съоръжение</w:t>
      </w:r>
      <w:r w:rsidR="00473631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, което прилага към</w:t>
      </w:r>
      <w:r w:rsidR="00990396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заявлението. </w:t>
      </w:r>
    </w:p>
    <w:p w:rsidR="00D91802" w:rsidRDefault="00904584" w:rsidP="00D9180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nl-N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nl-NL"/>
        </w:rPr>
        <w:t xml:space="preserve"> </w:t>
      </w:r>
    </w:p>
    <w:p w:rsidR="005F7550" w:rsidRPr="00E07499" w:rsidRDefault="00984FAB" w:rsidP="00D9180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</w:pPr>
      <w:r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>4.2.</w:t>
      </w:r>
      <w:r w:rsidR="00AF067E"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 xml:space="preserve"> </w:t>
      </w:r>
      <w:r w:rsidR="005F7550"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 xml:space="preserve">Критерий </w:t>
      </w:r>
      <w:r w:rsidR="005F7550" w:rsidRPr="00E0749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nl-NL"/>
        </w:rPr>
        <w:t>,,Конкурентна пазарна среда“</w:t>
      </w:r>
    </w:p>
    <w:p w:rsidR="005F7550" w:rsidRDefault="00990396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Критерият</w:t>
      </w:r>
      <w:r w:rsidR="005F7550"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9630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,,</w:t>
      </w:r>
      <w:r w:rsidR="00C661A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К</w:t>
      </w:r>
      <w:r w:rsidRPr="0089630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онкурентна пазарна среда“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 xml:space="preserve"> </w:t>
      </w:r>
      <w:r w:rsidR="005F7550"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се отнася за нивото на конкурентната пазарна среда т. е. при наличие на няколко оператора, които се конкурират при предоставянето на сравними услуги,</w:t>
      </w:r>
      <w:r w:rsidR="005F7550"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операто</w:t>
      </w:r>
      <w:r w:rsidR="00B53E9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рът на обслужващото съоръжение </w:t>
      </w:r>
      <w:r w:rsid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е в правото си </w:t>
      </w:r>
      <w:r w:rsidR="00AA538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да </w:t>
      </w:r>
      <w:r w:rsid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подаде </w:t>
      </w:r>
      <w:r w:rsidR="00B53E9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заяв</w:t>
      </w:r>
      <w:r w:rsid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к</w:t>
      </w:r>
      <w:r w:rsidR="00B53E9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а </w:t>
      </w:r>
      <w:r w:rsid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за </w:t>
      </w:r>
      <w:r w:rsidR="005F7550"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освобождаване</w:t>
      </w:r>
      <w:r w:rsid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.</w:t>
      </w:r>
    </w:p>
    <w:p w:rsidR="00DF7A78" w:rsidRPr="00DF7A78" w:rsidRDefault="00AA538F" w:rsidP="005F755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Въз основа на този критерий ИАЖА</w:t>
      </w:r>
      <w:r w:rsidR="00FB2C1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="00F35774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не разрешава</w:t>
      </w:r>
      <w:r w:rsidR="00B53E9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="00FB2C1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освобождаване при наличие </w:t>
      </w:r>
      <w:r w:rsidR="00771781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на </w:t>
      </w:r>
      <w:r w:rsidR="00DF7A7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по-малко от двама независими оператори – конкуренти, предлагащи сравними услуги с тези на заявителя</w:t>
      </w:r>
      <w:r w:rsidR="00E82DB8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.</w:t>
      </w:r>
    </w:p>
    <w:p w:rsidR="005F7550" w:rsidRDefault="005F7550" w:rsidP="005F755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lastRenderedPageBreak/>
        <w:t>Критерият ,,</w:t>
      </w:r>
      <w:r w:rsidRPr="005F75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nl-NL"/>
        </w:rPr>
        <w:t>Конкурентна пазарна среда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“ е изпълнен, ако </w:t>
      </w:r>
      <w:r w:rsidR="004F6D8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операторът на 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обслужващото съоръжение отговаря </w:t>
      </w:r>
      <w:r w:rsidR="004F6D8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на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следните </w:t>
      </w:r>
      <w:r w:rsidR="00E07499" w:rsidRPr="00C421A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показатели</w:t>
      </w:r>
      <w:r w:rsidR="004F6D8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взети заедно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A5E86" w:rsidRPr="00F00FFB" w:rsidRDefault="00C421AD" w:rsidP="00C551F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- наличие</w:t>
      </w:r>
      <w:r w:rsidR="00C551FB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на минимум двама независими оператори - к</w:t>
      </w:r>
      <w:r w:rsidR="00C551FB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онкурентни,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чи</w:t>
      </w:r>
      <w:r w:rsidR="00473631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 обслужващи съоръжения </w:t>
      </w:r>
      <w:r w:rsidR="00C551FB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осигуря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ват</w:t>
      </w:r>
      <w:r w:rsidR="00C551FB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същите услуги, при съпоставими условия</w:t>
      </w:r>
      <w:r w:rsidR="00FA5E86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="00C551FB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C551FB" w:rsidRPr="00F00FFB" w:rsidRDefault="00C551FB" w:rsidP="005232B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разстоянието между 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обслужващото съоръжение или услуга на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кандидатстващ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>ия оператор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тези на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конкурентите </w:t>
      </w:r>
      <w:r w:rsidR="00A3339A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 </w:t>
      </w:r>
      <w:r w:rsidR="006A5F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</w:t>
      </w:r>
      <w:r w:rsidR="00A3339A">
        <w:rPr>
          <w:rFonts w:ascii="Times New Roman" w:eastAsia="Calibri" w:hAnsi="Times New Roman" w:cs="Times New Roman"/>
          <w:sz w:val="24"/>
          <w:szCs w:val="24"/>
          <w:lang w:val="bg-BG"/>
        </w:rPr>
        <w:t>предпоставка за генериране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по-големи разходи от потребителя;</w:t>
      </w:r>
    </w:p>
    <w:p w:rsidR="00C551FB" w:rsidRDefault="00C551FB" w:rsidP="00C551F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="00505A7B">
        <w:rPr>
          <w:rFonts w:ascii="Times New Roman" w:eastAsia="Calibri" w:hAnsi="Times New Roman" w:cs="Times New Roman"/>
          <w:sz w:val="24"/>
          <w:szCs w:val="24"/>
          <w:lang w:val="bg-BG"/>
        </w:rPr>
        <w:t>съпоставими</w:t>
      </w:r>
      <w:r w:rsidR="00FB4F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технически характеристики между</w:t>
      </w:r>
      <w:r w:rsidR="008F6B69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4F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железопътната инфраструктура, която осигурява достъп до/в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обслужващо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съоръжение</w:t>
      </w:r>
      <w:r w:rsidR="00FB4F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</w:t>
      </w:r>
      <w:r w:rsidR="007D661F">
        <w:rPr>
          <w:rFonts w:ascii="Times New Roman" w:eastAsia="Calibri" w:hAnsi="Times New Roman" w:cs="Times New Roman"/>
          <w:sz w:val="24"/>
          <w:szCs w:val="24"/>
          <w:lang w:val="bg-BG"/>
        </w:rPr>
        <w:t>или услуга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BC65AA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кандидатстващ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>ия</w:t>
      </w:r>
      <w:r w:rsidR="00BC65AA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освобождаване </w:t>
      </w:r>
      <w:r w:rsidR="00BC65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оператор 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FB4F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тази</w:t>
      </w: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D661F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7D661F" w:rsidRPr="007D66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D661F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конкурентните</w:t>
      </w:r>
      <w:r w:rsidR="008F6B69"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FA5E9D" w:rsidRDefault="00FA5E9D" w:rsidP="00C551F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0FFB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FA5E9D">
        <w:rPr>
          <w:rFonts w:ascii="Times New Roman" w:eastAsia="Calibri" w:hAnsi="Times New Roman" w:cs="Times New Roman"/>
          <w:sz w:val="24"/>
          <w:szCs w:val="24"/>
          <w:lang w:val="bg-BG"/>
        </w:rPr>
        <w:t>наличие на свободен капацитет за изпълнение на заявките в конкурентните обслужващи съоръжения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116BF" w:rsidRDefault="005F7550" w:rsidP="00FA5E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случай на съмнение относно твърденията на заявителя в представената информация по критериите за освобождаването, </w:t>
      </w:r>
      <w:r w:rsidR="004F6D8D">
        <w:rPr>
          <w:rFonts w:ascii="Times New Roman" w:eastAsia="Calibri" w:hAnsi="Times New Roman" w:cs="Times New Roman"/>
          <w:sz w:val="24"/>
          <w:szCs w:val="24"/>
          <w:lang w:val="bg-BG"/>
        </w:rPr>
        <w:t>ИАЖА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може да подкрепи </w:t>
      </w:r>
      <w:r w:rsidR="00EF660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решението си, чрез изпращане на запитвания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към потребителите на съответното обслужващо съоръжение. </w:t>
      </w:r>
      <w:r w:rsidR="00EF660F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 д</w:t>
      </w:r>
      <w:r w:rsidR="00F850F6">
        <w:rPr>
          <w:rFonts w:ascii="Times New Roman" w:eastAsia="Calibri" w:hAnsi="Times New Roman" w:cs="Times New Roman"/>
          <w:sz w:val="24"/>
          <w:szCs w:val="24"/>
          <w:lang w:val="bg-BG"/>
        </w:rPr>
        <w:t>анни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85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послужат 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за оценка на точността на информацията, предоставена в искането за освобождаване</w:t>
      </w:r>
      <w:r w:rsidR="004F6D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оператора</w:t>
      </w:r>
      <w:r w:rsidRPr="005F755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E116BF" w:rsidRPr="00E116BF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</w:p>
    <w:p w:rsidR="00E116BF" w:rsidRPr="005F7550" w:rsidRDefault="00E116BF" w:rsidP="00E116B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По критерия </w:t>
      </w:r>
      <w:r w:rsidRPr="0089630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,,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К</w:t>
      </w:r>
      <w:r w:rsidRPr="0089630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онкурентна пазарна среда“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 xml:space="preserve"> 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операторът на обслужващото съоръжение, желаещ освобождаване, попълва </w:t>
      </w:r>
      <w:r w:rsidRPr="005F755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№</w:t>
      </w:r>
      <w:r w:rsidR="0075221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2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за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ида на обслужващото съоръжение</w:t>
      </w:r>
      <w:r w:rsidR="00473631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, което прилага към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заявлението. </w:t>
      </w:r>
    </w:p>
    <w:p w:rsidR="005F7550" w:rsidRPr="00E07499" w:rsidRDefault="00E07499" w:rsidP="00C71F67">
      <w:pPr>
        <w:pStyle w:val="ListParagraph"/>
        <w:keepNext/>
        <w:widowControl w:val="0"/>
        <w:numPr>
          <w:ilvl w:val="1"/>
          <w:numId w:val="15"/>
        </w:numPr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 xml:space="preserve"> </w:t>
      </w:r>
      <w:r w:rsidR="005F7550"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>Критерий ,,</w:t>
      </w:r>
      <w:r w:rsidR="005F7550" w:rsidRPr="00E0749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nl-NL"/>
        </w:rPr>
        <w:t>Отрицателно въздействие върху пазара</w:t>
      </w:r>
      <w:r w:rsidR="005F7550" w:rsidRPr="00E07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nl-NL"/>
        </w:rPr>
        <w:t>“</w:t>
      </w:r>
    </w:p>
    <w:p w:rsidR="007078FC" w:rsidRPr="007078FC" w:rsidRDefault="007078FC" w:rsidP="00C7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nl-NL"/>
        </w:rPr>
      </w:pPr>
      <w:r w:rsidRPr="007078FC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Критерият ,,</w:t>
      </w:r>
      <w:r w:rsidR="00C661A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О</w:t>
      </w:r>
      <w:r w:rsidRPr="007078F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трицателно въздействие върху пазара</w:t>
      </w:r>
      <w:r w:rsidRPr="007078FC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“ се прилага в случаите, когато 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ИАЖА, след анализ на всеки индивидуален случай, счете, че определени разпоредби от Регламент </w:t>
      </w:r>
      <w:r w:rsidRPr="007078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7522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7078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</w:t>
      </w:r>
      <w:r w:rsidRPr="007078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>могат да повлияят отрицателно на функционирането на пазара на обслужващите съоръжения. Такъв може да е например случаят, посочен в Регламент №</w:t>
      </w:r>
      <w:r w:rsidR="0075221B"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2177 – </w:t>
      </w:r>
      <w:r w:rsidRPr="007078FC">
        <w:rPr>
          <w:rFonts w:ascii="Times New Roman" w:eastAsia="Calibri" w:hAnsi="Times New Roman" w:cs="Times New Roman"/>
          <w:i/>
          <w:sz w:val="24"/>
          <w:szCs w:val="24"/>
          <w:lang w:val="bg-BG"/>
        </w:rPr>
        <w:t>„</w:t>
      </w:r>
      <w:r w:rsidR="004E56C0">
        <w:rPr>
          <w:rFonts w:ascii="Times New Roman" w:eastAsia="Calibri" w:hAnsi="Times New Roman" w:cs="Times New Roman"/>
          <w:i/>
          <w:sz w:val="24"/>
          <w:szCs w:val="24"/>
          <w:lang w:val="bg-BG"/>
        </w:rPr>
        <w:t>…</w:t>
      </w:r>
      <w:r w:rsidRPr="007078F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ако </w:t>
      </w:r>
      <w:r w:rsidRPr="007078F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дадено железопътно предприятие предоставя услуги на друго железопътно предприятие с цел да му съдейства в отдалечени места т.е. в рамките на сътрудничество, което е необходимо поради размера на съответните разходи, които в противен случай би направило друг</w:t>
      </w:r>
      <w:r w:rsidR="004E56C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ото предприятие.</w:t>
      </w:r>
      <w:r w:rsidRPr="007078F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“</w:t>
      </w:r>
      <w:r w:rsidR="004E56C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nl-NL"/>
        </w:rPr>
        <w:t>.</w:t>
      </w:r>
      <w:r w:rsidRPr="007078FC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</w:p>
    <w:p w:rsidR="007078FC" w:rsidRPr="007078FC" w:rsidRDefault="007078FC" w:rsidP="007078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>По този критер</w:t>
      </w:r>
      <w:r w:rsidR="00067832">
        <w:rPr>
          <w:rFonts w:ascii="Times New Roman" w:eastAsia="Calibri" w:hAnsi="Times New Roman" w:cs="Times New Roman"/>
          <w:sz w:val="24"/>
          <w:szCs w:val="24"/>
          <w:lang w:val="bg-BG"/>
        </w:rPr>
        <w:t>ий може да заяви освобождаване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всеки оператор, като мотивирано посоч</w:t>
      </w:r>
      <w:r w:rsidR="00CE5EEA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точно </w:t>
      </w:r>
      <w:r w:rsidR="003B7FB6">
        <w:rPr>
          <w:rFonts w:ascii="Times New Roman" w:eastAsia="Calibri" w:hAnsi="Times New Roman" w:cs="Times New Roman"/>
          <w:sz w:val="24"/>
          <w:szCs w:val="24"/>
          <w:lang w:val="bg-BG"/>
        </w:rPr>
        <w:t>кои разпоредби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B7FB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Регламент №</w:t>
      </w:r>
      <w:r w:rsidR="0075221B">
        <w:rPr>
          <w:rFonts w:ascii="Times New Roman" w:eastAsia="Calibri" w:hAnsi="Times New Roman" w:cs="Times New Roman"/>
          <w:sz w:val="24"/>
          <w:szCs w:val="24"/>
          <w:lang w:val="bg-BG"/>
        </w:rPr>
        <w:t> 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>2177 създават риск от отрицателно въздействие върху функционирането на пазара на обслужващите съоръжения</w:t>
      </w:r>
      <w:r w:rsidR="00C01C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страната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какви са тези рискове от отрицателни ефекти и </w:t>
      </w:r>
      <w:r w:rsidR="00C71F67">
        <w:rPr>
          <w:rFonts w:ascii="Times New Roman" w:eastAsia="Calibri" w:hAnsi="Times New Roman" w:cs="Times New Roman"/>
          <w:sz w:val="24"/>
          <w:szCs w:val="24"/>
          <w:lang w:val="bg-BG"/>
        </w:rPr>
        <w:t>предостав</w:t>
      </w:r>
      <w:r w:rsidR="00FF0564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C71F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доказателства за невъзможност да се прилагат съответните разпоредби</w:t>
      </w: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7078FC" w:rsidRDefault="007078FC" w:rsidP="007078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078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случаите, когато обстоятелствата са се променили по такъв начин, че предоставяно по-рано освобождаване има отрицателно въздействие върху пазара на железопътните транспортни услуги, ИАЖА има право да преразгледа и може да отмени освобождаването. </w:t>
      </w:r>
    </w:p>
    <w:p w:rsidR="00C71F67" w:rsidRPr="007078FC" w:rsidRDefault="00C71F67" w:rsidP="007078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F7550" w:rsidRPr="00047C07" w:rsidRDefault="003570DA" w:rsidP="00E07499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047C07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Заявление за освобождаване на оператор на обслужващото съоръжение не се разглежда, </w:t>
      </w:r>
      <w:r w:rsidR="005F7550" w:rsidRPr="00047C07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когато:</w:t>
      </w:r>
    </w:p>
    <w:p w:rsidR="00AF067E" w:rsidRPr="00047C07" w:rsidRDefault="00AF067E" w:rsidP="00AF067E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5635D7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Липсват документи и доказателствени факти в подкрепа на освобождаването, например информация за управлението на обслужващото съор</w:t>
      </w:r>
      <w:r w:rsidR="00B47CB3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ъжение за последните две години.</w:t>
      </w:r>
      <w:r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F067E" w:rsidRPr="00047C07" w:rsidRDefault="005635D7" w:rsidP="00AF067E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5.2</w:t>
      </w:r>
      <w:r w:rsidR="00AF067E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Липсва описание за обслужващото съоръжение п</w:t>
      </w:r>
      <w:r w:rsidR="0050534D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 чл. 5, </w:t>
      </w:r>
      <w:r w:rsidR="007409E2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8F42BB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 от Регламент</w:t>
      </w:r>
      <w:r w:rsidR="0075221B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F42BB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75221B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50534D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</w:t>
      </w:r>
      <w:r w:rsidR="00B47CB3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AF067E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5F7550" w:rsidRPr="00047C07" w:rsidRDefault="005635D7" w:rsidP="00AF067E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5.3</w:t>
      </w:r>
      <w:r w:rsidR="00AF067E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Липсва изисквана информация</w:t>
      </w:r>
      <w:r w:rsidR="00437E9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посочена в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заявлени</w:t>
      </w:r>
      <w:r w:rsidR="00B47CB3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</w:t>
      </w:r>
      <w:r w:rsidR="005C7D35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Приложение</w:t>
      </w:r>
      <w:r w:rsidR="005F7550" w:rsidRPr="00047C0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№ 1</w:t>
      </w:r>
      <w:r w:rsidR="005F7550" w:rsidRPr="00047C0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, 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Приложение</w:t>
      </w:r>
      <w:r w:rsidR="005F7550" w:rsidRPr="00047C0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№</w:t>
      </w:r>
      <w:r w:rsidR="0075221B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 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2</w:t>
      </w:r>
      <w:r w:rsidR="005F7550" w:rsidRPr="00047C0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или друга информация, свързана с </w:t>
      </w:r>
      <w:r w:rsidR="0050534D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кри</w:t>
      </w:r>
      <w:r w:rsidR="00437E9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терия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,,</w:t>
      </w:r>
      <w:r w:rsidR="00C661A3" w:rsidRPr="00047C0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</w:t>
      </w:r>
      <w:r w:rsidR="005F7550" w:rsidRPr="00047C0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трицателното въздействие върху пазара“</w:t>
      </w:r>
      <w:r w:rsidR="005F7550" w:rsidRP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E5EEA" w:rsidRDefault="00CE5EEA" w:rsidP="002E156C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right="140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6.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9E1F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освобождаване</w:t>
      </w:r>
    </w:p>
    <w:p w:rsidR="00047C07" w:rsidRDefault="00047C07" w:rsidP="005F7550">
      <w:pPr>
        <w:widowControl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Дирекция „Регулиране“ разглежда заявлението, приложенията и предоставените документи и изготвя доклад до изпълнителния директор на ИАЖА</w:t>
      </w:r>
      <w:r w:rsidR="00C219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предложение да се даде разрешение или да се направи отказ за освобождаване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047C07" w:rsidRDefault="00047C07" w:rsidP="005F7550">
      <w:pPr>
        <w:widowControl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Изпълнителният директор на </w:t>
      </w:r>
      <w:r w:rsidR="00AC73E3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Изпълнителна агенция „Железопътна администрация“</w:t>
      </w:r>
      <w:r w:rsidR="005F7550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произнася с решение по заявлението.</w:t>
      </w:r>
    </w:p>
    <w:p w:rsidR="005F7550" w:rsidRDefault="00047C07" w:rsidP="005F7550">
      <w:pPr>
        <w:widowControl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може да бъде за освобождаване или отказ за освобождаване на оператора на обслужващото съоръжение и се </w:t>
      </w:r>
      <w:r w:rsidR="005F7550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 </w:t>
      </w:r>
      <w:r w:rsidR="000821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интернет страницата </w:t>
      </w:r>
      <w:r w:rsidR="002D7B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5346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агенцията</w:t>
      </w:r>
      <w:r w:rsidR="005F7550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C21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следва да е </w:t>
      </w:r>
      <w:r w:rsidR="00BE03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аргументирано и </w:t>
      </w:r>
      <w:r w:rsidR="00C21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подкрепено със съответните мотиви</w:t>
      </w:r>
      <w:r w:rsidR="00BE03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47C07" w:rsidRPr="005F7550" w:rsidRDefault="00BE034F" w:rsidP="00047C0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за о</w:t>
      </w:r>
      <w:r w:rsidR="00047C07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тказ </w:t>
      </w:r>
      <w:r w:rsidR="00A15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освобождаване на</w:t>
      </w:r>
      <w:r w:rsidR="00047C07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даден оператор на обслужващо съоръжен</w:t>
      </w:r>
      <w:r w:rsid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ие от разпоредбите на Регламент № 2177</w:t>
      </w:r>
      <w:r w:rsidR="00047C07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подлежи на обжалване по реда на Административно</w:t>
      </w:r>
      <w:r w:rsidR="00047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47C07"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процесуалния кодекс.</w:t>
      </w:r>
    </w:p>
    <w:p w:rsidR="00C736D2" w:rsidRDefault="005F7550" w:rsidP="0050534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</w:pP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Операторите на обслужващи съоръжения, получили освобождаване по </w:t>
      </w:r>
      <w:r w:rsidR="005346B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чл.</w:t>
      </w:r>
      <w:r w:rsidR="00DF54B9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</w:t>
      </w:r>
      <w:r w:rsidR="005346B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2, 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пар</w:t>
      </w:r>
      <w:r w:rsidR="00437E9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.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2 от Регламент</w:t>
      </w:r>
      <w:r w:rsidR="0050534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 №</w:t>
      </w:r>
      <w:r w:rsidR="0075221B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 </w:t>
      </w:r>
      <w:r w:rsidR="0050534D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2177</w:t>
      </w:r>
      <w:r w:rsidRPr="005F7550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, продължават да спазват националните нормативни документи. </w:t>
      </w:r>
      <w:r w:rsidR="00A153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Изпълнителна агенция „Железопътна администрация“ </w:t>
      </w:r>
      <w:r w:rsidR="00C736D2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отменя освобождаването, ако установи, че операторът </w:t>
      </w:r>
      <w:r w:rsidR="00AC73E3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 xml:space="preserve">на обслужващото съоръжение </w:t>
      </w:r>
      <w:r w:rsidR="00C736D2">
        <w:rPr>
          <w:rFonts w:ascii="Times New Roman" w:eastAsia="Times New Roman" w:hAnsi="Times New Roman" w:cs="Times New Roman"/>
          <w:bCs/>
          <w:sz w:val="24"/>
          <w:szCs w:val="24"/>
          <w:lang w:val="bg-BG" w:eastAsia="nl-NL"/>
        </w:rPr>
        <w:t>престане да отговаря на критериите по освобождаването.</w:t>
      </w:r>
    </w:p>
    <w:p w:rsidR="005F7550" w:rsidRDefault="005F7550" w:rsidP="005F755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Служителите на ИАЖА са задължени да не разгласяват информацията, станала им известна във връзка с представените документи от кандидата за освобождаване.</w:t>
      </w:r>
    </w:p>
    <w:p w:rsidR="006D67DD" w:rsidRPr="005F7550" w:rsidRDefault="006D67DD" w:rsidP="005F755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необходимост настоящите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принципи</w:t>
      </w:r>
      <w:r w:rsidR="00B249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относно вземането на решения за освобождаване на операторите на обслужващите съоръжения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разпоредбите на Регламент № 2177</w:t>
      </w:r>
      <w:r w:rsidR="000D10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могат да бъдат актуализирани.</w:t>
      </w:r>
    </w:p>
    <w:p w:rsidR="005F7550" w:rsidRPr="005F7550" w:rsidRDefault="005F7550" w:rsidP="005F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A72F8" w:rsidRPr="00FB2C1B" w:rsidRDefault="005A72F8" w:rsidP="005A72F8">
      <w:pPr>
        <w:pStyle w:val="Default"/>
        <w:rPr>
          <w:lang w:val="ru-RU"/>
        </w:rPr>
      </w:pPr>
    </w:p>
    <w:p w:rsidR="005F7550" w:rsidRPr="005F7550" w:rsidRDefault="005F7550" w:rsidP="003B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C3399B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№ 1 </w:t>
      </w:r>
    </w:p>
    <w:p w:rsidR="00C3399B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освобождаване на оператор на обслужващо съоръжение по </w:t>
      </w:r>
    </w:p>
    <w:p w:rsidR="00544F13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критерий ,,Няма стратегическо значение“</w:t>
      </w:r>
    </w:p>
    <w:p w:rsidR="009D0D35" w:rsidRPr="005F7550" w:rsidRDefault="009D0D35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4F13" w:rsidRPr="005F7550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544F13" w:rsidRDefault="009D0D35" w:rsidP="009D0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>астоящият обра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зец се попълва в изпълнение на Р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>егламент за изпълнение (ЕС) 2017/2177 на 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омисията </w:t>
      </w:r>
      <w:r w:rsidR="004C6F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22 ноември 2017 година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отно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сно достъпа до обслужващите съоръжения и свързаните с </w:t>
      </w:r>
      <w:r w:rsidR="000D344F">
        <w:rPr>
          <w:rFonts w:ascii="Times New Roman" w:eastAsia="Times New Roman" w:hAnsi="Times New Roman" w:cs="Times New Roman"/>
          <w:sz w:val="24"/>
          <w:szCs w:val="24"/>
          <w:lang w:val="bg-BG"/>
        </w:rPr>
        <w:t>железопътните дейности услуги на основание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2, пар. </w:t>
      </w:r>
      <w:r w:rsidR="000D34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и във връзка с </w:t>
      </w:r>
      <w:r w:rsidR="000D344F"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2, пар. </w:t>
      </w:r>
      <w:r w:rsidR="000D344F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44F13" w:rsidRDefault="00544F13" w:rsidP="005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FFE" w:rsidRPr="00D376A8" w:rsidRDefault="004C6FFE" w:rsidP="005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44F13" w:rsidRPr="00876108" w:rsidTr="00CC4950">
        <w:trPr>
          <w:trHeight w:val="772"/>
        </w:trPr>
        <w:tc>
          <w:tcPr>
            <w:tcW w:w="4644" w:type="dxa"/>
            <w:vAlign w:val="center"/>
            <w:hideMark/>
          </w:tcPr>
          <w:p w:rsidR="00544F13" w:rsidRPr="005F7550" w:rsidRDefault="00B862D9" w:rsidP="00332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</w:t>
            </w:r>
            <w:r w:rsidR="00544F13" w:rsidRPr="005F7550">
              <w:rPr>
                <w:b/>
                <w:bCs/>
                <w:color w:val="000000"/>
                <w:sz w:val="24"/>
                <w:szCs w:val="24"/>
              </w:rPr>
              <w:t xml:space="preserve"> за освобождаване</w:t>
            </w:r>
          </w:p>
        </w:tc>
        <w:tc>
          <w:tcPr>
            <w:tcW w:w="5103" w:type="dxa"/>
            <w:vAlign w:val="center"/>
            <w:hideMark/>
          </w:tcPr>
          <w:p w:rsidR="00544F13" w:rsidRPr="005F7550" w:rsidRDefault="00544F13" w:rsidP="0033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1D3F5B">
              <w:rPr>
                <w:b/>
                <w:bCs/>
                <w:sz w:val="24"/>
                <w:szCs w:val="24"/>
              </w:rPr>
              <w:t>Информация за установяване липсата на стратегическо значение</w:t>
            </w:r>
          </w:p>
        </w:tc>
      </w:tr>
      <w:tr w:rsidR="00544F13" w:rsidRPr="00876108" w:rsidTr="00CC4950">
        <w:trPr>
          <w:trHeight w:val="1260"/>
        </w:trPr>
        <w:tc>
          <w:tcPr>
            <w:tcW w:w="4644" w:type="dxa"/>
            <w:noWrap/>
            <w:hideMark/>
          </w:tcPr>
          <w:p w:rsidR="00544F13" w:rsidRPr="005F7550" w:rsidRDefault="00321C31" w:rsidP="00321C31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544F13" w:rsidRPr="005F7550">
              <w:rPr>
                <w:color w:val="000000"/>
                <w:sz w:val="24"/>
                <w:szCs w:val="24"/>
              </w:rPr>
              <w:t xml:space="preserve">Местоположение на </w:t>
            </w:r>
            <w:r w:rsidR="00544F13">
              <w:rPr>
                <w:color w:val="000000"/>
                <w:sz w:val="24"/>
                <w:szCs w:val="24"/>
              </w:rPr>
              <w:t xml:space="preserve">обслужващото </w:t>
            </w:r>
            <w:r w:rsidR="00544F13" w:rsidRPr="005F7550">
              <w:rPr>
                <w:color w:val="000000"/>
                <w:sz w:val="24"/>
                <w:szCs w:val="24"/>
              </w:rPr>
              <w:t>съоръжение съгласно Наредбата за категор</w:t>
            </w:r>
            <w:r>
              <w:rPr>
                <w:color w:val="000000"/>
                <w:sz w:val="24"/>
                <w:szCs w:val="24"/>
              </w:rPr>
              <w:t>изацията на железопътните линии.</w:t>
            </w:r>
          </w:p>
        </w:tc>
        <w:tc>
          <w:tcPr>
            <w:tcW w:w="5103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876108" w:rsidTr="00CC4950">
        <w:trPr>
          <w:trHeight w:val="1230"/>
        </w:trPr>
        <w:tc>
          <w:tcPr>
            <w:tcW w:w="4644" w:type="dxa"/>
            <w:noWrap/>
            <w:hideMark/>
          </w:tcPr>
          <w:p w:rsidR="00544F13" w:rsidRPr="005F7550" w:rsidRDefault="00321C31" w:rsidP="00F00FF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544F13" w:rsidRPr="007409E2">
              <w:rPr>
                <w:color w:val="000000"/>
                <w:sz w:val="24"/>
                <w:szCs w:val="24"/>
              </w:rPr>
              <w:t xml:space="preserve">Капацитет на обслужващото съоръжение </w:t>
            </w:r>
            <w:r w:rsidR="00544F13">
              <w:rPr>
                <w:color w:val="000000"/>
                <w:sz w:val="24"/>
                <w:szCs w:val="24"/>
              </w:rPr>
              <w:t xml:space="preserve">по видове </w:t>
            </w:r>
            <w:r w:rsidR="00544F13" w:rsidRPr="005F7550">
              <w:rPr>
                <w:color w:val="000000"/>
                <w:sz w:val="24"/>
                <w:szCs w:val="24"/>
              </w:rPr>
              <w:t>предоставян</w:t>
            </w:r>
            <w:r w:rsidR="00544F13">
              <w:rPr>
                <w:color w:val="000000"/>
                <w:sz w:val="24"/>
                <w:szCs w:val="24"/>
              </w:rPr>
              <w:t>и</w:t>
            </w:r>
            <w:r w:rsidR="00544F13" w:rsidRPr="005F7550">
              <w:rPr>
                <w:color w:val="000000"/>
                <w:sz w:val="24"/>
                <w:szCs w:val="24"/>
              </w:rPr>
              <w:t xml:space="preserve"> услуг</w:t>
            </w:r>
            <w:r w:rsidR="00544F1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876108" w:rsidTr="00CC4950">
        <w:trPr>
          <w:trHeight w:val="1110"/>
        </w:trPr>
        <w:tc>
          <w:tcPr>
            <w:tcW w:w="4644" w:type="dxa"/>
            <w:noWrap/>
          </w:tcPr>
          <w:p w:rsidR="00544F13" w:rsidRPr="005F7550" w:rsidRDefault="00321C31" w:rsidP="00321C31">
            <w:pPr>
              <w:pStyle w:val="ListParagraph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3. </w:t>
            </w:r>
            <w:r w:rsidR="00544F13">
              <w:rPr>
                <w:color w:val="000000"/>
                <w:sz w:val="24"/>
                <w:szCs w:val="24"/>
              </w:rPr>
              <w:t>С</w:t>
            </w:r>
            <w:r w:rsidR="00544F13" w:rsidRPr="007409E2">
              <w:rPr>
                <w:color w:val="000000"/>
                <w:sz w:val="24"/>
                <w:szCs w:val="24"/>
              </w:rPr>
              <w:t xml:space="preserve">вободен капацитет </w:t>
            </w:r>
            <w:r w:rsidR="00544F13">
              <w:rPr>
                <w:color w:val="000000"/>
                <w:sz w:val="24"/>
                <w:szCs w:val="24"/>
              </w:rPr>
              <w:t xml:space="preserve">по видове предоставяни услуги за последните 2 </w:t>
            </w:r>
            <w:r w:rsidR="00544F13" w:rsidRPr="00FB2C1B">
              <w:rPr>
                <w:color w:val="000000"/>
                <w:sz w:val="24"/>
                <w:szCs w:val="24"/>
                <w:lang w:val="ru-RU"/>
              </w:rPr>
              <w:t>(</w:t>
            </w:r>
            <w:r w:rsidR="00544F13">
              <w:rPr>
                <w:color w:val="000000"/>
                <w:sz w:val="24"/>
                <w:szCs w:val="24"/>
              </w:rPr>
              <w:t>две</w:t>
            </w:r>
            <w:r w:rsidR="00544F13" w:rsidRPr="00FB2C1B">
              <w:rPr>
                <w:color w:val="000000"/>
                <w:sz w:val="24"/>
                <w:szCs w:val="24"/>
                <w:lang w:val="ru-RU"/>
              </w:rPr>
              <w:t>)</w:t>
            </w:r>
            <w:r w:rsidR="00544F13">
              <w:rPr>
                <w:color w:val="000000"/>
                <w:sz w:val="24"/>
                <w:szCs w:val="24"/>
              </w:rPr>
              <w:t xml:space="preserve"> години </w:t>
            </w:r>
            <w:r w:rsidR="005025EF">
              <w:rPr>
                <w:color w:val="000000"/>
                <w:sz w:val="24"/>
                <w:szCs w:val="24"/>
              </w:rPr>
              <w:t xml:space="preserve">в процент от </w:t>
            </w:r>
            <w:r w:rsidR="00F25A76">
              <w:rPr>
                <w:color w:val="000000"/>
                <w:sz w:val="24"/>
                <w:szCs w:val="24"/>
              </w:rPr>
              <w:t>разполагаемия експлоатационен капацитет.</w:t>
            </w:r>
          </w:p>
        </w:tc>
        <w:tc>
          <w:tcPr>
            <w:tcW w:w="5103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876108" w:rsidTr="00CC4950">
        <w:trPr>
          <w:trHeight w:val="945"/>
        </w:trPr>
        <w:tc>
          <w:tcPr>
            <w:tcW w:w="4644" w:type="dxa"/>
            <w:noWrap/>
          </w:tcPr>
          <w:p w:rsidR="00544F13" w:rsidRPr="00321C31" w:rsidRDefault="00321C31" w:rsidP="00321C31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4. </w:t>
            </w:r>
            <w:r w:rsidR="00544F13" w:rsidRPr="00321C31">
              <w:rPr>
                <w:color w:val="000000"/>
                <w:sz w:val="24"/>
                <w:szCs w:val="24"/>
              </w:rPr>
              <w:t xml:space="preserve">Отказани заявки по видове предоставяни  услуги за последните 2 </w:t>
            </w:r>
            <w:r w:rsidR="00544F13" w:rsidRPr="00321C31">
              <w:rPr>
                <w:color w:val="000000"/>
                <w:sz w:val="24"/>
                <w:szCs w:val="24"/>
                <w:lang w:val="ru-RU"/>
              </w:rPr>
              <w:t>(</w:t>
            </w:r>
            <w:r w:rsidR="00544F13" w:rsidRPr="00321C31">
              <w:rPr>
                <w:color w:val="000000"/>
                <w:sz w:val="24"/>
                <w:szCs w:val="24"/>
              </w:rPr>
              <w:t>две</w:t>
            </w:r>
            <w:r w:rsidR="00544F13" w:rsidRPr="00321C31">
              <w:rPr>
                <w:color w:val="000000"/>
                <w:sz w:val="24"/>
                <w:szCs w:val="24"/>
                <w:lang w:val="ru-RU"/>
              </w:rPr>
              <w:t>)</w:t>
            </w:r>
            <w:r w:rsidR="00544F13" w:rsidRPr="00321C31">
              <w:rPr>
                <w:color w:val="000000"/>
                <w:sz w:val="24"/>
                <w:szCs w:val="24"/>
              </w:rPr>
              <w:t xml:space="preserve"> години</w:t>
            </w:r>
            <w:r w:rsidR="005025EF">
              <w:rPr>
                <w:color w:val="000000"/>
                <w:sz w:val="24"/>
                <w:szCs w:val="24"/>
              </w:rPr>
              <w:t xml:space="preserve"> в процент от подадените заявки.</w:t>
            </w:r>
          </w:p>
          <w:p w:rsidR="00544F13" w:rsidRPr="005F7550" w:rsidRDefault="00544F13" w:rsidP="00332AC4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F73F16" w:rsidRPr="00876108" w:rsidTr="00CC4950">
        <w:trPr>
          <w:trHeight w:val="945"/>
        </w:trPr>
        <w:tc>
          <w:tcPr>
            <w:tcW w:w="4644" w:type="dxa"/>
            <w:noWrap/>
          </w:tcPr>
          <w:p w:rsidR="00F73F16" w:rsidRPr="00F73F16" w:rsidRDefault="00F73F16" w:rsidP="00F73F16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F73F16">
              <w:rPr>
                <w:color w:val="000000"/>
                <w:sz w:val="24"/>
                <w:szCs w:val="24"/>
              </w:rPr>
              <w:t xml:space="preserve">5. Причини за отказ </w:t>
            </w:r>
            <w:r>
              <w:rPr>
                <w:color w:val="000000"/>
                <w:sz w:val="24"/>
                <w:szCs w:val="24"/>
              </w:rPr>
              <w:t>на заявките по т. 4.</w:t>
            </w:r>
          </w:p>
        </w:tc>
        <w:tc>
          <w:tcPr>
            <w:tcW w:w="5103" w:type="dxa"/>
            <w:noWrap/>
          </w:tcPr>
          <w:p w:rsidR="00F73F16" w:rsidRPr="005F7550" w:rsidRDefault="00F73F16" w:rsidP="00332AC4">
            <w:pPr>
              <w:jc w:val="both"/>
              <w:rPr>
                <w:sz w:val="24"/>
                <w:szCs w:val="24"/>
              </w:rPr>
            </w:pPr>
          </w:p>
        </w:tc>
      </w:tr>
      <w:tr w:rsidR="00544F13" w:rsidRPr="00876108" w:rsidTr="00CC4950">
        <w:trPr>
          <w:trHeight w:val="945"/>
        </w:trPr>
        <w:tc>
          <w:tcPr>
            <w:tcW w:w="4644" w:type="dxa"/>
            <w:noWrap/>
          </w:tcPr>
          <w:p w:rsidR="00544F13" w:rsidRPr="005F7550" w:rsidRDefault="00FA355D" w:rsidP="00321C31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  <w:lang w:eastAsia="nl-NL"/>
              </w:rPr>
            </w:pPr>
            <w:r>
              <w:rPr>
                <w:bCs/>
                <w:sz w:val="24"/>
                <w:szCs w:val="24"/>
                <w:lang w:eastAsia="nl-NL"/>
              </w:rPr>
              <w:t>6</w:t>
            </w:r>
            <w:r w:rsidR="00321C31">
              <w:rPr>
                <w:bCs/>
                <w:sz w:val="24"/>
                <w:szCs w:val="24"/>
                <w:lang w:eastAsia="nl-NL"/>
              </w:rPr>
              <w:t>. </w:t>
            </w:r>
            <w:r w:rsidR="00544F13" w:rsidRPr="005F7550">
              <w:rPr>
                <w:bCs/>
                <w:sz w:val="24"/>
                <w:szCs w:val="24"/>
                <w:lang w:eastAsia="nl-NL"/>
              </w:rPr>
              <w:t>Алтернативни съоръжения, които предлагат същите услуги, свързани с железопътния транспорт</w:t>
            </w:r>
            <w:r w:rsidR="007117F7">
              <w:rPr>
                <w:bCs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5103" w:type="dxa"/>
            <w:noWrap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</w:p>
        </w:tc>
      </w:tr>
    </w:tbl>
    <w:p w:rsidR="00544F13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544F13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544F13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A156F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Дата:</w:t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  <w:t>Подпис:</w:t>
      </w:r>
    </w:p>
    <w:p w:rsidR="00A156F6" w:rsidRDefault="00A156F6">
      <w:pPr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br w:type="page"/>
      </w:r>
    </w:p>
    <w:p w:rsidR="00544F13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C369F1" w:rsidRPr="00C369F1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6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№ 2 </w:t>
      </w:r>
    </w:p>
    <w:p w:rsidR="00C369F1" w:rsidRPr="00C369F1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6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освобождаване на оператор на обслужващо съоръжение по </w:t>
      </w:r>
    </w:p>
    <w:p w:rsidR="00544F13" w:rsidRPr="00C369F1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6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критерий ,,Конкурентна пазарна среда“</w:t>
      </w:r>
    </w:p>
    <w:p w:rsidR="00544F13" w:rsidRDefault="00544F13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D67DD" w:rsidRPr="005F7550" w:rsidRDefault="006D67DD" w:rsidP="00544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C369F1" w:rsidRDefault="00C369F1" w:rsidP="00C36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>астоящият обра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зец се попълва в изпълнение на Р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>егламент за изпълнение (ЕС) 2017/2177 на 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омисията от 22 ноември 2017 година отно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сно достъпа до обслужващите съоръжения и свързаните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железопътните дейности услуги на основание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2, пар.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и във връзка с 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2, пар.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D0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01C81" w:rsidRPr="009D0D35" w:rsidRDefault="00C01C81" w:rsidP="005E6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val="bg-BG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F13" w:rsidRPr="005F7550" w:rsidRDefault="00544F13" w:rsidP="005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fldChar w:fldCharType="begin"/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instrText xml:space="preserve"> LINK Excel.Sheet.12 "C:\\Users\\tsdimov\\Desktop\\Работна\\ОБСЛУЖВАЩИ СЪОРЪЖЕНИЯ\\Критерии за освобождаване България\\Таблица за освобождаване.xlsx" Лист2!R2C4:R8C5 \a \f 5 \h  \* MERGEFORMAT </w:instrText>
      </w: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fldChar w:fldCharType="separat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544F13" w:rsidRPr="00876108" w:rsidTr="00CC4950">
        <w:trPr>
          <w:trHeight w:val="772"/>
        </w:trPr>
        <w:tc>
          <w:tcPr>
            <w:tcW w:w="4077" w:type="dxa"/>
            <w:vAlign w:val="center"/>
            <w:hideMark/>
          </w:tcPr>
          <w:p w:rsidR="00544F13" w:rsidRPr="005F7550" w:rsidRDefault="00B862D9" w:rsidP="00332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</w:t>
            </w:r>
            <w:r w:rsidR="00544F13" w:rsidRPr="005F7550">
              <w:rPr>
                <w:b/>
                <w:bCs/>
                <w:color w:val="000000"/>
                <w:sz w:val="24"/>
                <w:szCs w:val="24"/>
              </w:rPr>
              <w:t xml:space="preserve"> за освобождаване</w:t>
            </w:r>
          </w:p>
        </w:tc>
        <w:tc>
          <w:tcPr>
            <w:tcW w:w="5670" w:type="dxa"/>
            <w:vAlign w:val="center"/>
            <w:hideMark/>
          </w:tcPr>
          <w:p w:rsidR="00544F13" w:rsidRPr="005F7550" w:rsidRDefault="00544F13" w:rsidP="0033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1D3F5B">
              <w:rPr>
                <w:b/>
                <w:bCs/>
                <w:sz w:val="24"/>
                <w:szCs w:val="24"/>
              </w:rPr>
              <w:t>Информация за установяване наличието на конкурентна пазарна среда</w:t>
            </w:r>
          </w:p>
        </w:tc>
      </w:tr>
      <w:tr w:rsidR="00544F13" w:rsidRPr="00876108" w:rsidTr="00CC4950">
        <w:trPr>
          <w:trHeight w:val="1260"/>
        </w:trPr>
        <w:tc>
          <w:tcPr>
            <w:tcW w:w="4077" w:type="dxa"/>
            <w:noWrap/>
            <w:hideMark/>
          </w:tcPr>
          <w:p w:rsidR="00544F13" w:rsidRPr="005F7550" w:rsidRDefault="00544F13" w:rsidP="006F2940">
            <w:pPr>
              <w:jc w:val="both"/>
              <w:rPr>
                <w:sz w:val="24"/>
                <w:szCs w:val="24"/>
                <w:lang w:val="ru-RU"/>
              </w:rPr>
            </w:pPr>
            <w:r w:rsidRPr="005F7550">
              <w:rPr>
                <w:bCs/>
                <w:sz w:val="24"/>
                <w:szCs w:val="24"/>
              </w:rPr>
              <w:t xml:space="preserve">1. Брой оператори - конкуренти със </w:t>
            </w:r>
            <w:r w:rsidRPr="00057500">
              <w:rPr>
                <w:bCs/>
                <w:sz w:val="24"/>
                <w:szCs w:val="24"/>
              </w:rPr>
              <w:t>същите</w:t>
            </w:r>
            <w:r w:rsidRPr="005F7550">
              <w:rPr>
                <w:bCs/>
                <w:sz w:val="24"/>
                <w:szCs w:val="24"/>
              </w:rPr>
              <w:t xml:space="preserve"> услуги, вкл</w:t>
            </w:r>
            <w:r w:rsidR="0017593E">
              <w:rPr>
                <w:bCs/>
                <w:sz w:val="24"/>
                <w:szCs w:val="24"/>
              </w:rPr>
              <w:t>ючително</w:t>
            </w:r>
            <w:r>
              <w:rPr>
                <w:bCs/>
                <w:sz w:val="24"/>
                <w:szCs w:val="24"/>
              </w:rPr>
              <w:t>:</w:t>
            </w:r>
            <w:r w:rsidRPr="005F7550">
              <w:rPr>
                <w:bCs/>
                <w:sz w:val="24"/>
                <w:szCs w:val="24"/>
              </w:rPr>
              <w:t xml:space="preserve"> наименовани</w:t>
            </w:r>
            <w:r w:rsidRPr="001D3F5B">
              <w:rPr>
                <w:bCs/>
                <w:sz w:val="24"/>
                <w:szCs w:val="24"/>
              </w:rPr>
              <w:t>е</w:t>
            </w:r>
            <w:r w:rsidRPr="00121CA6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на</w:t>
            </w:r>
            <w:r w:rsidRPr="00557A6B">
              <w:rPr>
                <w:bCs/>
                <w:sz w:val="24"/>
                <w:szCs w:val="24"/>
              </w:rPr>
              <w:t xml:space="preserve"> услугата</w:t>
            </w:r>
            <w:r>
              <w:rPr>
                <w:bCs/>
                <w:sz w:val="24"/>
                <w:szCs w:val="24"/>
                <w:lang w:val="ru-RU"/>
              </w:rPr>
              <w:t>, наименование на оператор</w:t>
            </w:r>
            <w:r w:rsidR="00E55BF6"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 xml:space="preserve">-конкурент. </w:t>
            </w:r>
          </w:p>
        </w:tc>
        <w:tc>
          <w:tcPr>
            <w:tcW w:w="5670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333170" w:rsidTr="00CC4950">
        <w:trPr>
          <w:trHeight w:val="1230"/>
        </w:trPr>
        <w:tc>
          <w:tcPr>
            <w:tcW w:w="4077" w:type="dxa"/>
            <w:noWrap/>
            <w:hideMark/>
          </w:tcPr>
          <w:p w:rsidR="00544F13" w:rsidRPr="005F7550" w:rsidRDefault="006F2940" w:rsidP="006F2940">
            <w:pPr>
              <w:tabs>
                <w:tab w:val="left" w:pos="349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544F13">
              <w:rPr>
                <w:bCs/>
                <w:sz w:val="24"/>
                <w:szCs w:val="24"/>
              </w:rPr>
              <w:t xml:space="preserve">Физични и технически характеристики: местоположение на конкурентното съоръжение, достъпа до него, </w:t>
            </w:r>
            <w:r w:rsidR="0017593E">
              <w:rPr>
                <w:bCs/>
                <w:sz w:val="24"/>
                <w:szCs w:val="24"/>
              </w:rPr>
              <w:t xml:space="preserve">широчина на междурелсието, </w:t>
            </w:r>
            <w:r w:rsidR="00544F13">
              <w:rPr>
                <w:bCs/>
                <w:sz w:val="24"/>
                <w:szCs w:val="24"/>
              </w:rPr>
              <w:t xml:space="preserve">дължина на коловоза  и наличие на електрификация. </w:t>
            </w:r>
            <w:r w:rsidR="00544F13" w:rsidRPr="005F7550">
              <w:rPr>
                <w:rFonts w:eastAsia="Calibri"/>
                <w:sz w:val="24"/>
                <w:szCs w:val="24"/>
              </w:rPr>
              <w:t xml:space="preserve">Разстояние </w:t>
            </w:r>
            <w:r w:rsidR="00544F13">
              <w:rPr>
                <w:rFonts w:eastAsia="Calibri"/>
                <w:sz w:val="24"/>
                <w:szCs w:val="24"/>
              </w:rPr>
              <w:t xml:space="preserve">между конкурентните </w:t>
            </w:r>
            <w:r w:rsidR="00E55BF6">
              <w:rPr>
                <w:rFonts w:eastAsia="Calibri"/>
                <w:sz w:val="24"/>
                <w:szCs w:val="24"/>
              </w:rPr>
              <w:t>обслужващи съоръжения</w:t>
            </w:r>
            <w:r w:rsidR="00544F13">
              <w:rPr>
                <w:rFonts w:eastAsia="Calibri"/>
                <w:sz w:val="24"/>
                <w:szCs w:val="24"/>
              </w:rPr>
              <w:t xml:space="preserve"> и това на заявителя.</w:t>
            </w:r>
          </w:p>
        </w:tc>
        <w:tc>
          <w:tcPr>
            <w:tcW w:w="5670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C67A07" w:rsidTr="00CC4950">
        <w:trPr>
          <w:trHeight w:val="1110"/>
        </w:trPr>
        <w:tc>
          <w:tcPr>
            <w:tcW w:w="4077" w:type="dxa"/>
            <w:noWrap/>
          </w:tcPr>
          <w:p w:rsidR="00544F13" w:rsidRPr="005F7550" w:rsidRDefault="00544F13" w:rsidP="007D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7500">
              <w:rPr>
                <w:sz w:val="24"/>
                <w:szCs w:val="24"/>
              </w:rPr>
              <w:t>Експлоатационни</w:t>
            </w:r>
            <w:r w:rsidRPr="005F7550">
              <w:rPr>
                <w:rFonts w:eastAsia="Calibri"/>
                <w:sz w:val="24"/>
                <w:szCs w:val="24"/>
              </w:rPr>
              <w:t xml:space="preserve"> характеристики на конкурентните съоръжения</w:t>
            </w:r>
            <w:r>
              <w:rPr>
                <w:rFonts w:eastAsia="Calibri"/>
                <w:sz w:val="24"/>
                <w:szCs w:val="24"/>
              </w:rPr>
              <w:t xml:space="preserve">: работно време, </w:t>
            </w:r>
            <w:r w:rsidR="00632ED5">
              <w:rPr>
                <w:rFonts w:eastAsia="Calibri"/>
                <w:sz w:val="24"/>
                <w:szCs w:val="24"/>
              </w:rPr>
              <w:t xml:space="preserve">наличен капацитет в съоръжението и неговите околности, </w:t>
            </w:r>
            <w:r>
              <w:rPr>
                <w:rFonts w:eastAsia="Calibri"/>
                <w:sz w:val="24"/>
                <w:szCs w:val="24"/>
              </w:rPr>
              <w:t>обхват и вид на предлаганите услуги</w:t>
            </w:r>
            <w:r w:rsidR="00632ED5">
              <w:rPr>
                <w:rFonts w:eastAsia="Calibri"/>
                <w:sz w:val="24"/>
                <w:szCs w:val="24"/>
              </w:rPr>
              <w:t>.</w:t>
            </w:r>
            <w:r w:rsidR="0017593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  <w:tr w:rsidR="00544F13" w:rsidRPr="00C67A07" w:rsidTr="00CC4950">
        <w:trPr>
          <w:trHeight w:val="945"/>
        </w:trPr>
        <w:tc>
          <w:tcPr>
            <w:tcW w:w="4077" w:type="dxa"/>
            <w:noWrap/>
          </w:tcPr>
          <w:p w:rsidR="00544F13" w:rsidRPr="00C136BF" w:rsidRDefault="00544F13" w:rsidP="00781B50">
            <w:pPr>
              <w:tabs>
                <w:tab w:val="left" w:pos="270"/>
              </w:tabs>
              <w:jc w:val="both"/>
              <w:rPr>
                <w:sz w:val="24"/>
                <w:szCs w:val="24"/>
              </w:rPr>
            </w:pPr>
            <w:r w:rsidRPr="00FB2C1B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781B50">
              <w:rPr>
                <w:sz w:val="24"/>
                <w:szCs w:val="24"/>
              </w:rPr>
              <w:t>М</w:t>
            </w:r>
            <w:r w:rsidR="00632ED5">
              <w:rPr>
                <w:sz w:val="24"/>
                <w:szCs w:val="24"/>
              </w:rPr>
              <w:t>аршрут, връзки с други видове транспорт и време за транспортиране</w:t>
            </w:r>
            <w:r w:rsidR="006F2940">
              <w:rPr>
                <w:sz w:val="24"/>
                <w:szCs w:val="24"/>
              </w:rPr>
              <w:t xml:space="preserve"> от оператора-заявител до оператора-конкурент</w:t>
            </w:r>
            <w:r w:rsidR="00E55BF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noWrap/>
            <w:hideMark/>
          </w:tcPr>
          <w:p w:rsidR="00544F13" w:rsidRPr="005F7550" w:rsidRDefault="00544F13" w:rsidP="00332AC4">
            <w:pPr>
              <w:jc w:val="both"/>
              <w:rPr>
                <w:sz w:val="24"/>
                <w:szCs w:val="24"/>
              </w:rPr>
            </w:pPr>
            <w:r w:rsidRPr="005F7550">
              <w:rPr>
                <w:sz w:val="24"/>
                <w:szCs w:val="24"/>
              </w:rPr>
              <w:t> </w:t>
            </w:r>
          </w:p>
        </w:tc>
      </w:tr>
    </w:tbl>
    <w:p w:rsidR="00D93D70" w:rsidRDefault="00D93D70" w:rsidP="00D9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3D70" w:rsidRDefault="00D93D70" w:rsidP="00D9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5672" w:rsidRDefault="00544F13" w:rsidP="00D9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7550">
        <w:rPr>
          <w:rFonts w:ascii="Times New Roman" w:eastAsia="Times New Roman" w:hAnsi="Times New Roman" w:cs="Times New Roman"/>
          <w:sz w:val="24"/>
          <w:szCs w:val="24"/>
          <w:lang w:val="bg-BG"/>
        </w:rPr>
        <w:fldChar w:fldCharType="end"/>
      </w:r>
    </w:p>
    <w:p w:rsidR="00F65672" w:rsidRDefault="00F65672" w:rsidP="00D9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4F13" w:rsidRPr="005F7550" w:rsidRDefault="00544F13" w:rsidP="00D9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Дата:</w:t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 w:rsidRPr="005F755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  <w:t>Подпис:</w:t>
      </w:r>
    </w:p>
    <w:p w:rsidR="00A156F6" w:rsidRDefault="00A156F6">
      <w:pPr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br w:type="page"/>
      </w:r>
    </w:p>
    <w:p w:rsidR="00544F13" w:rsidRPr="002E59C6" w:rsidRDefault="00544F13" w:rsidP="00544F13">
      <w:pPr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2E59C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ДО</w:t>
      </w:r>
    </w:p>
    <w:p w:rsidR="00544F13" w:rsidRPr="002E59C6" w:rsidRDefault="00544F13" w:rsidP="00544F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9C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ИЗПЪЛНИТЕЛНИЯ ДИРЕКТОР</w:t>
      </w:r>
    </w:p>
    <w:p w:rsidR="00544F13" w:rsidRPr="002E59C6" w:rsidRDefault="00544F13" w:rsidP="00544F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E59C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НА ИЗПЪЛНИТЕЛНА АГЕНЦИЯ </w:t>
      </w:r>
    </w:p>
    <w:p w:rsidR="00544F13" w:rsidRPr="002E59C6" w:rsidRDefault="00544F13" w:rsidP="00544F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9C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„ЖЕЛЕЗОПЪТНА АДМИНИСТРАЦИЯ“</w:t>
      </w:r>
    </w:p>
    <w:p w:rsidR="00544F13" w:rsidRPr="002E59C6" w:rsidRDefault="00544F13" w:rsidP="00544F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44F13" w:rsidRPr="002E59C6" w:rsidRDefault="00544F13" w:rsidP="00544F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544F13" w:rsidRPr="002E59C6" w:rsidRDefault="00544F13" w:rsidP="00544F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544F13" w:rsidRPr="002E59C6" w:rsidRDefault="00544F13" w:rsidP="0054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З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А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Я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В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Л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Е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Н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И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Е </w:t>
      </w:r>
    </w:p>
    <w:p w:rsidR="00C369F1" w:rsidRDefault="00544F13" w:rsidP="0054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E59C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ЗА ОСВОБОЖДАВАНЕ НА ОБСЛУЖВАЩО СЪОРЪЖЕНИЕ </w:t>
      </w:r>
    </w:p>
    <w:p w:rsidR="00544F13" w:rsidRPr="00C369F1" w:rsidRDefault="00544F13" w:rsidP="006E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E59C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СЪГЛАСНО ЧЛ. 2 ОТ </w:t>
      </w:r>
      <w:r w:rsidR="00C369F1" w:rsidRPr="00C369F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РЕГЛАМЕНТ ЗА ИЗПЪЛНЕНИЕ (EС) 2017/2177 НА КОМИСИЯТА ОТ 22 НОЕМВРИ 2017 ГОДИНА ОТНОСНО ДОСТЪПА ДО ОБСЛУЖВАЩИ СЪОРЪЖЕНИЯ И СВЪРЗАНИ С ЖЕЛЕЗОПЪТНИТЕ ДЕЙНОСТИ УСЛУГИ</w:t>
      </w:r>
    </w:p>
    <w:p w:rsidR="00544F13" w:rsidRPr="002E59C6" w:rsidRDefault="00544F13" w:rsidP="00544F13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13" w:rsidRPr="002E59C6" w:rsidRDefault="00544F13" w:rsidP="0054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…........................……………………………………………….......................</w:t>
      </w:r>
      <w:r w:rsidR="00FF05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/име на оператора на обслужващо съоръжение/</w:t>
      </w:r>
    </w:p>
    <w:p w:rsidR="00544F13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750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…........................……………………………………………….......................</w:t>
      </w:r>
      <w:r w:rsidR="00FF05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/адрес</w:t>
      </w:r>
      <w:r w:rsidRPr="002E59C6">
        <w:rPr>
          <w:rFonts w:ascii="Arial" w:eastAsia="Times New Roman" w:hAnsi="Arial" w:cs="Times New Roman"/>
          <w:sz w:val="24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 кореспонденция</w:t>
      </w: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имейл, телефон и лице за контакт/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…........................……………………………………………….......................</w:t>
      </w:r>
      <w:r w:rsidR="00FF05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</w:t>
      </w:r>
      <w:r w:rsidR="00AB2D5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наименование и </w:t>
      </w: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адрес</w:t>
      </w:r>
      <w:r w:rsidRPr="002E59C6">
        <w:rPr>
          <w:rFonts w:ascii="Arial" w:eastAsia="Times New Roman" w:hAnsi="Arial" w:cs="Times New Roman"/>
          <w:sz w:val="24"/>
          <w:szCs w:val="20"/>
          <w:lang w:val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 обслужващо съоръжение, имейл, телефон и лице за контакт/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2E59C6" w:rsidRDefault="00544F13" w:rsidP="00FF0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E59C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Уважаеми г-н Изпълнителен директор</w:t>
      </w:r>
      <w:r w:rsidRPr="002E59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544F13" w:rsidRPr="002E59C6" w:rsidRDefault="00544F13" w:rsidP="00FF0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F13" w:rsidRPr="00121CA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смисъла на Приложение II, т. 2 от Наредба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Pr="002E59C6">
        <w:rPr>
          <w:rFonts w:ascii="Arial" w:eastAsia="Times New Roman" w:hAnsi="Arial" w:cs="Times New Roman"/>
          <w:sz w:val="24"/>
          <w:szCs w:val="20"/>
          <w:lang w:val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достъп и използване на железопътната инфраструктура</w:t>
      </w:r>
      <w:r w:rsidRPr="002E59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</w:t>
      </w:r>
      <w:r w:rsidRPr="002E59C6">
        <w:rPr>
          <w:rFonts w:ascii="Arial" w:eastAsia="Times New Roman" w:hAnsi="Arial" w:cs="Times New Roman"/>
          <w:sz w:val="24"/>
          <w:szCs w:val="20"/>
          <w:lang w:val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оператор на: ………………………………………………………………………………………………………</w:t>
      </w:r>
      <w:r w:rsidR="00FF05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544F13" w:rsidRPr="00121CA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  <w:r w:rsidR="00FF05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E59C6">
        <w:rPr>
          <w:rFonts w:ascii="Times New Roman" w:eastAsia="Times New Roman" w:hAnsi="Times New Roman" w:cs="Times New Roman"/>
          <w:sz w:val="20"/>
          <w:szCs w:val="20"/>
          <w:lang w:val="bg-BG"/>
        </w:rPr>
        <w:t>(посочва се видът на обслужващото съоръжение, за което се кандидатства)</w:t>
      </w: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44F13" w:rsidRPr="002E59C6" w:rsidRDefault="00544F13" w:rsidP="00F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него предоставям следните услуги, свързани с железопътните дейности:</w:t>
      </w:r>
    </w:p>
    <w:p w:rsidR="00544F13" w:rsidRPr="00121CA6" w:rsidRDefault="00544F13" w:rsidP="00FF05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 w:rsidR="00FF05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</w:p>
    <w:p w:rsidR="00544F13" w:rsidRPr="00121CA6" w:rsidRDefault="00544F13" w:rsidP="00FF05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</w:t>
      </w:r>
      <w:r w:rsidRPr="00121C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</w:t>
      </w:r>
      <w:r w:rsidR="00FF05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…...</w:t>
      </w:r>
    </w:p>
    <w:p w:rsidR="00544F13" w:rsidRPr="002E59C6" w:rsidRDefault="00544F13" w:rsidP="00FF0564">
      <w:pPr>
        <w:spacing w:after="0" w:line="240" w:lineRule="auto"/>
        <w:ind w:left="720" w:right="90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057500">
        <w:rPr>
          <w:rFonts w:ascii="Times New Roman" w:eastAsia="Times New Roman" w:hAnsi="Times New Roman" w:cs="Times New Roman"/>
          <w:sz w:val="20"/>
          <w:szCs w:val="20"/>
          <w:lang w:val="bg-BG"/>
        </w:rPr>
        <w:t>(посочва се пълен списък на услугите, свързани с железопътния транспорт)</w:t>
      </w:r>
    </w:p>
    <w:p w:rsidR="00544F13" w:rsidRPr="002E59C6" w:rsidRDefault="00544F13" w:rsidP="00FF0564">
      <w:pPr>
        <w:spacing w:after="0" w:line="240" w:lineRule="auto"/>
        <w:ind w:left="720" w:right="9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544F13" w:rsidRPr="002E59C6" w:rsidRDefault="00544F13" w:rsidP="00544F13">
      <w:pPr>
        <w:spacing w:after="0" w:line="240" w:lineRule="auto"/>
        <w:ind w:right="9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 от Регламент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2017/2177 (ЕС) на Комисията относно достъпа до обслужващи съоръжения и свързани с железопътните дейности услуги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(Регламент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2177)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желая да бъда освободен от прилагането на:</w:t>
      </w:r>
    </w:p>
    <w:tbl>
      <w:tblPr>
        <w:tblStyle w:val="TableGrid"/>
        <w:tblpPr w:leftFromText="141" w:rightFromText="141" w:vertAnchor="text" w:horzAnchor="margin" w:tblpX="108" w:tblpY="21"/>
        <w:tblW w:w="0" w:type="auto"/>
        <w:tblLook w:val="04A0" w:firstRow="1" w:lastRow="0" w:firstColumn="1" w:lastColumn="0" w:noHBand="0" w:noVBand="1"/>
      </w:tblPr>
      <w:tblGrid>
        <w:gridCol w:w="250"/>
      </w:tblGrid>
      <w:tr w:rsidR="00544F13" w:rsidRPr="00876108" w:rsidTr="00332AC4">
        <w:tc>
          <w:tcPr>
            <w:tcW w:w="250" w:type="dxa"/>
          </w:tcPr>
          <w:p w:rsidR="00544F13" w:rsidRPr="002E59C6" w:rsidRDefault="00544F13" w:rsidP="00332AC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</w:tbl>
    <w:p w:rsidR="00544F13" w:rsidRPr="002E59C6" w:rsidRDefault="00544F13" w:rsidP="00544F13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70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разпоредби на Регламент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FD70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2177, допускащи освобождаване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tbl>
      <w:tblPr>
        <w:tblStyle w:val="TableGrid"/>
        <w:tblpPr w:leftFromText="141" w:rightFromText="141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44F13" w:rsidRPr="00876108" w:rsidTr="00332AC4">
        <w:tc>
          <w:tcPr>
            <w:tcW w:w="250" w:type="dxa"/>
          </w:tcPr>
          <w:p w:rsidR="00544F13" w:rsidRPr="002E59C6" w:rsidRDefault="00544F13" w:rsidP="00332AC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</w:tbl>
    <w:p w:rsidR="00544F13" w:rsidRDefault="00544F13" w:rsidP="00F45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следните разпоредби от Регламент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2177:</w:t>
      </w:r>
      <w:r w:rsidRPr="002E59C6" w:rsidDel="00103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="00FF05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</w:p>
    <w:p w:rsidR="00544F13" w:rsidRPr="002E59C6" w:rsidRDefault="00544F13" w:rsidP="00544F13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</w:p>
    <w:p w:rsidR="00544F13" w:rsidRPr="002E59C6" w:rsidRDefault="00544F13" w:rsidP="00544F13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Освобождаването от разпоредбите на Регламент №</w:t>
      </w:r>
      <w:r w:rsidR="00557A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 за експлоатираното от мен обслужващо съоръжение да се извърши на основание на следния критерий:</w:t>
      </w:r>
    </w:p>
    <w:p w:rsidR="00544F13" w:rsidRPr="002E59C6" w:rsidRDefault="00544F13" w:rsidP="005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44F13" w:rsidRPr="00876108" w:rsidTr="00F45169">
        <w:trPr>
          <w:trHeight w:val="881"/>
        </w:trPr>
        <w:tc>
          <w:tcPr>
            <w:tcW w:w="9606" w:type="dxa"/>
          </w:tcPr>
          <w:tbl>
            <w:tblPr>
              <w:tblStyle w:val="TableGrid"/>
              <w:tblpPr w:leftFromText="141" w:rightFromText="141" w:vertAnchor="text" w:horzAnchor="margin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5"/>
            </w:tblGrid>
            <w:tr w:rsidR="00544F13" w:rsidRPr="00876108" w:rsidTr="00332AC4">
              <w:trPr>
                <w:trHeight w:val="508"/>
              </w:trPr>
              <w:tc>
                <w:tcPr>
                  <w:tcW w:w="625" w:type="dxa"/>
                </w:tcPr>
                <w:p w:rsidR="00544F13" w:rsidRPr="002E59C6" w:rsidRDefault="00544F13" w:rsidP="00332AC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4F13" w:rsidRPr="002E59C6" w:rsidRDefault="00544F13" w:rsidP="00557A6B">
            <w:pPr>
              <w:jc w:val="both"/>
              <w:rPr>
                <w:sz w:val="24"/>
                <w:szCs w:val="24"/>
                <w:lang w:val="ru-RU"/>
              </w:rPr>
            </w:pPr>
            <w:r w:rsidRPr="002E59C6">
              <w:rPr>
                <w:sz w:val="24"/>
                <w:szCs w:val="24"/>
              </w:rPr>
              <w:t xml:space="preserve">обслужващи съоръжения или услуги, които нямат стратегическо значение за функционирането на пазара на железопътни транспортни услуги </w:t>
            </w:r>
            <w:r w:rsidRPr="002E59C6">
              <w:rPr>
                <w:sz w:val="24"/>
                <w:szCs w:val="24"/>
                <w:lang w:val="ru-RU"/>
              </w:rPr>
              <w:t>(</w:t>
            </w:r>
            <w:r w:rsidRPr="002E59C6">
              <w:rPr>
                <w:sz w:val="24"/>
                <w:szCs w:val="24"/>
              </w:rPr>
              <w:t>прилага се попълнено Приложение №</w:t>
            </w:r>
            <w:r w:rsidR="00557A6B">
              <w:rPr>
                <w:sz w:val="24"/>
                <w:szCs w:val="24"/>
              </w:rPr>
              <w:t> </w:t>
            </w:r>
            <w:r w:rsidRPr="002E59C6">
              <w:rPr>
                <w:sz w:val="24"/>
                <w:szCs w:val="24"/>
              </w:rPr>
              <w:t>1</w:t>
            </w:r>
            <w:r w:rsidRPr="002E59C6">
              <w:rPr>
                <w:sz w:val="24"/>
                <w:szCs w:val="24"/>
                <w:lang w:val="ru-RU"/>
              </w:rPr>
              <w:t>)</w:t>
            </w:r>
          </w:p>
        </w:tc>
      </w:tr>
      <w:tr w:rsidR="00544F13" w:rsidRPr="00876108" w:rsidTr="00F45169">
        <w:trPr>
          <w:trHeight w:val="890"/>
        </w:trPr>
        <w:tc>
          <w:tcPr>
            <w:tcW w:w="9606" w:type="dxa"/>
          </w:tcPr>
          <w:tbl>
            <w:tblPr>
              <w:tblStyle w:val="TableGrid"/>
              <w:tblpPr w:leftFromText="141" w:rightFromText="141" w:vertAnchor="text" w:horzAnchor="margin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8"/>
            </w:tblGrid>
            <w:tr w:rsidR="00544F13" w:rsidRPr="00876108" w:rsidTr="00332AC4">
              <w:trPr>
                <w:trHeight w:val="500"/>
              </w:trPr>
              <w:tc>
                <w:tcPr>
                  <w:tcW w:w="618" w:type="dxa"/>
                </w:tcPr>
                <w:p w:rsidR="00544F13" w:rsidRPr="002E59C6" w:rsidRDefault="00544F13" w:rsidP="00332AC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4F13" w:rsidRPr="002E59C6" w:rsidRDefault="00544F13" w:rsidP="00557A6B">
            <w:pPr>
              <w:jc w:val="both"/>
              <w:rPr>
                <w:sz w:val="24"/>
                <w:szCs w:val="24"/>
              </w:rPr>
            </w:pPr>
            <w:r w:rsidRPr="002E59C6">
              <w:rPr>
                <w:sz w:val="24"/>
                <w:szCs w:val="24"/>
              </w:rPr>
              <w:t>обслужващи съоръжения или услуги, които съответно се експлоатират или предоставят в конкурентна пазарна среда при наличие на конкуренти, предлагащи сравними услуги</w:t>
            </w:r>
            <w:r w:rsidRPr="002E59C6">
              <w:rPr>
                <w:sz w:val="24"/>
                <w:szCs w:val="24"/>
                <w:lang w:val="ru-RU"/>
              </w:rPr>
              <w:t xml:space="preserve"> (</w:t>
            </w:r>
            <w:r w:rsidRPr="002E59C6">
              <w:rPr>
                <w:sz w:val="24"/>
                <w:szCs w:val="24"/>
              </w:rPr>
              <w:t>прилага се попълнено Приложение №</w:t>
            </w:r>
            <w:r w:rsidR="00557A6B">
              <w:rPr>
                <w:sz w:val="24"/>
                <w:szCs w:val="24"/>
              </w:rPr>
              <w:t> </w:t>
            </w:r>
            <w:r w:rsidRPr="002E59C6">
              <w:rPr>
                <w:sz w:val="24"/>
                <w:szCs w:val="24"/>
              </w:rPr>
              <w:t>2</w:t>
            </w:r>
            <w:r w:rsidRPr="002E59C6">
              <w:rPr>
                <w:sz w:val="24"/>
                <w:szCs w:val="24"/>
                <w:lang w:val="ru-RU"/>
              </w:rPr>
              <w:t>)</w:t>
            </w:r>
          </w:p>
        </w:tc>
      </w:tr>
      <w:tr w:rsidR="00544F13" w:rsidRPr="00876108" w:rsidTr="00F45169">
        <w:tc>
          <w:tcPr>
            <w:tcW w:w="9606" w:type="dxa"/>
          </w:tcPr>
          <w:tbl>
            <w:tblPr>
              <w:tblStyle w:val="TableGrid"/>
              <w:tblpPr w:leftFromText="141" w:rightFromText="141" w:vertAnchor="text" w:horzAnchor="margin" w:tblpY="-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8"/>
            </w:tblGrid>
            <w:tr w:rsidR="00544F13" w:rsidRPr="00876108" w:rsidTr="00332AC4">
              <w:trPr>
                <w:trHeight w:val="513"/>
              </w:trPr>
              <w:tc>
                <w:tcPr>
                  <w:tcW w:w="648" w:type="dxa"/>
                </w:tcPr>
                <w:p w:rsidR="00544F13" w:rsidRPr="002E59C6" w:rsidRDefault="00544F13" w:rsidP="00332AC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4F13" w:rsidRPr="002E59C6" w:rsidRDefault="00544F13" w:rsidP="00557A6B">
            <w:pPr>
              <w:jc w:val="both"/>
              <w:rPr>
                <w:sz w:val="24"/>
                <w:szCs w:val="24"/>
              </w:rPr>
            </w:pPr>
            <w:r w:rsidRPr="002E59C6">
              <w:rPr>
                <w:sz w:val="24"/>
                <w:szCs w:val="24"/>
              </w:rPr>
              <w:t>обслужващи съоръжения или услуги, в които прилагането на Регламент №</w:t>
            </w:r>
            <w:r w:rsidR="00557A6B">
              <w:rPr>
                <w:sz w:val="24"/>
                <w:szCs w:val="24"/>
              </w:rPr>
              <w:t> </w:t>
            </w:r>
            <w:r w:rsidRPr="002E59C6">
              <w:rPr>
                <w:sz w:val="24"/>
                <w:szCs w:val="24"/>
              </w:rPr>
              <w:t>2177 би могло да повлияе отрицателно на функционирането на пазара на обслужващите съоръжения.</w:t>
            </w:r>
            <w:r w:rsidRPr="002E59C6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r w:rsidRPr="002E59C6">
              <w:rPr>
                <w:sz w:val="24"/>
                <w:szCs w:val="24"/>
                <w:lang w:val="ru-RU"/>
              </w:rPr>
              <w:t>(</w:t>
            </w:r>
            <w:r w:rsidRPr="002E59C6">
              <w:rPr>
                <w:sz w:val="24"/>
                <w:szCs w:val="24"/>
              </w:rPr>
              <w:t>прилагат се документи, доказващи, че</w:t>
            </w:r>
            <w:r w:rsidRPr="002E59C6">
              <w:rPr>
                <w:rFonts w:eastAsia="Calibri"/>
                <w:sz w:val="24"/>
                <w:szCs w:val="24"/>
              </w:rPr>
              <w:t xml:space="preserve"> прилагането на Регламент №</w:t>
            </w:r>
            <w:r w:rsidR="00557A6B">
              <w:rPr>
                <w:rFonts w:eastAsia="Calibri"/>
                <w:sz w:val="24"/>
                <w:szCs w:val="24"/>
              </w:rPr>
              <w:t> </w:t>
            </w:r>
            <w:r w:rsidRPr="002E59C6">
              <w:rPr>
                <w:rFonts w:eastAsia="Calibri"/>
                <w:sz w:val="24"/>
                <w:szCs w:val="24"/>
              </w:rPr>
              <w:t>2177 въздейства отрицателно върху пазара на обслужващите съоръжения</w:t>
            </w:r>
            <w:r w:rsidRPr="002E59C6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544F13" w:rsidRPr="002E59C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544F13" w:rsidRPr="002E59C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Предоставям следните документи, които считам, че са приложими за освобождаване от разпоредбите на Регламент №</w:t>
      </w:r>
      <w:r w:rsidR="00FA0E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2177: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………………………………….………………………………………………………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………………………………………………………………………….………………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………………………………………………………………………….………………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………………………………………………………………………….………………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…………………………………………………………………………….……………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…………………………………………………………………………….……………</w:t>
      </w:r>
      <w:r w:rsidR="00F451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</w:p>
    <w:p w:rsidR="00544F13" w:rsidRPr="002E59C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672" w:rsidRDefault="00F65672" w:rsidP="00F451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65672" w:rsidRDefault="00F65672" w:rsidP="00F451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44F13" w:rsidRPr="002E59C6" w:rsidRDefault="00544F13" w:rsidP="00F451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уважение: </w:t>
      </w:r>
    </w:p>
    <w:p w:rsidR="00544F13" w:rsidRPr="002E59C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/</w:t>
      </w:r>
      <w:r w:rsidRPr="002E59C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име и подпис</w:t>
      </w:r>
      <w:r w:rsidRPr="002E59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44F13" w:rsidRPr="002E59C6" w:rsidRDefault="00544F13" w:rsidP="00544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E59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</w:t>
      </w:r>
      <w:r w:rsidR="00F451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E59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.……………</w:t>
      </w:r>
      <w:r w:rsidR="00F451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.. </w:t>
      </w:r>
      <w:r w:rsidRPr="002E59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</w:p>
    <w:p w:rsidR="001822B8" w:rsidRPr="006E6498" w:rsidRDefault="00544F13" w:rsidP="000C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E59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гр. </w:t>
      </w:r>
      <w:r w:rsidR="00DF7A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София</w:t>
      </w:r>
    </w:p>
    <w:p w:rsidR="00A156F6" w:rsidRDefault="00A156F6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sectPr w:rsidR="00A156F6" w:rsidSect="00FF0564">
      <w:foot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B2" w:rsidRDefault="007213B2" w:rsidP="001C28A0">
      <w:pPr>
        <w:spacing w:after="0" w:line="240" w:lineRule="auto"/>
      </w:pPr>
      <w:r>
        <w:separator/>
      </w:r>
    </w:p>
  </w:endnote>
  <w:endnote w:type="continuationSeparator" w:id="0">
    <w:p w:rsidR="007213B2" w:rsidRDefault="007213B2" w:rsidP="001C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184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A7B" w:rsidRDefault="00505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1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629F" w:rsidRDefault="0072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B2" w:rsidRDefault="007213B2" w:rsidP="001C28A0">
      <w:pPr>
        <w:spacing w:after="0" w:line="240" w:lineRule="auto"/>
      </w:pPr>
      <w:r>
        <w:separator/>
      </w:r>
    </w:p>
  </w:footnote>
  <w:footnote w:type="continuationSeparator" w:id="0">
    <w:p w:rsidR="007213B2" w:rsidRDefault="007213B2" w:rsidP="001C28A0">
      <w:pPr>
        <w:spacing w:after="0" w:line="240" w:lineRule="auto"/>
      </w:pPr>
      <w:r>
        <w:continuationSeparator/>
      </w:r>
    </w:p>
  </w:footnote>
  <w:footnote w:id="1">
    <w:p w:rsidR="005F7550" w:rsidRPr="00E02201" w:rsidRDefault="005F7550" w:rsidP="0013602A">
      <w:pPr>
        <w:pStyle w:val="FootnoteText"/>
        <w:jc w:val="both"/>
        <w:rPr>
          <w:rFonts w:ascii="Times New Roman" w:hAnsi="Times New Roman"/>
          <w:lang w:val="ru-RU"/>
        </w:rPr>
      </w:pPr>
      <w:r w:rsidRPr="007409E2">
        <w:rPr>
          <w:rStyle w:val="FootnoteReference"/>
        </w:rPr>
        <w:footnoteRef/>
      </w:r>
      <w:r w:rsidRPr="007409E2">
        <w:rPr>
          <w:rFonts w:ascii="Times New Roman" w:hAnsi="Times New Roman"/>
        </w:rPr>
        <w:t>,,Обобщение на националните определения за представляващи историческо наследство железници“</w:t>
      </w:r>
      <w:r w:rsidR="0013602A">
        <w:rPr>
          <w:rFonts w:ascii="Times New Roman" w:hAnsi="Times New Roman"/>
        </w:rPr>
        <w:t xml:space="preserve"> от </w:t>
      </w:r>
      <w:r w:rsidRPr="007409E2">
        <w:rPr>
          <w:rFonts w:ascii="Times New Roman" w:hAnsi="Times New Roman"/>
        </w:rPr>
        <w:t xml:space="preserve"> 27 септември 2018 г</w:t>
      </w:r>
      <w:r w:rsidRPr="00FB2C1B">
        <w:rPr>
          <w:rFonts w:ascii="Times New Roman" w:hAnsi="Times New Roman"/>
          <w:lang w:val="ru-RU"/>
        </w:rPr>
        <w:t>.</w:t>
      </w:r>
      <w:r w:rsidR="000B53DC" w:rsidRPr="00FB2C1B">
        <w:rPr>
          <w:lang w:val="ru-RU"/>
        </w:rPr>
        <w:t xml:space="preserve"> </w:t>
      </w:r>
      <w:hyperlink r:id="rId1" w:history="1">
        <w:r w:rsidR="000B53DC">
          <w:rPr>
            <w:rStyle w:val="Hyperlink"/>
          </w:rPr>
          <w:t>https://www.irg-rail.eu/irg/documents/position-papers/199,2018.html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B0"/>
    <w:multiLevelType w:val="hybridMultilevel"/>
    <w:tmpl w:val="073CD62C"/>
    <w:lvl w:ilvl="0" w:tplc="6CE8722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036443"/>
    <w:multiLevelType w:val="multilevel"/>
    <w:tmpl w:val="FC0602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A31F27"/>
    <w:multiLevelType w:val="multilevel"/>
    <w:tmpl w:val="A5F63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">
    <w:nsid w:val="14511969"/>
    <w:multiLevelType w:val="multilevel"/>
    <w:tmpl w:val="F5763BE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4">
    <w:nsid w:val="16D35115"/>
    <w:multiLevelType w:val="hybridMultilevel"/>
    <w:tmpl w:val="02EA4656"/>
    <w:lvl w:ilvl="0" w:tplc="A70CE57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197CC0"/>
    <w:multiLevelType w:val="hybridMultilevel"/>
    <w:tmpl w:val="02B8B408"/>
    <w:lvl w:ilvl="0" w:tplc="7356306C">
      <w:start w:val="4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219209D6"/>
    <w:multiLevelType w:val="hybridMultilevel"/>
    <w:tmpl w:val="B01A6182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A4CD7"/>
    <w:multiLevelType w:val="hybridMultilevel"/>
    <w:tmpl w:val="5594722C"/>
    <w:lvl w:ilvl="0" w:tplc="E564E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37985"/>
    <w:multiLevelType w:val="hybridMultilevel"/>
    <w:tmpl w:val="2B64EB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B62"/>
    <w:multiLevelType w:val="hybridMultilevel"/>
    <w:tmpl w:val="E2A466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5325B9"/>
    <w:multiLevelType w:val="multilevel"/>
    <w:tmpl w:val="B5B67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096367"/>
    <w:multiLevelType w:val="hybridMultilevel"/>
    <w:tmpl w:val="FB0EE21A"/>
    <w:lvl w:ilvl="0" w:tplc="2C9CC660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57617"/>
    <w:multiLevelType w:val="hybridMultilevel"/>
    <w:tmpl w:val="D33420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42220"/>
    <w:multiLevelType w:val="hybridMultilevel"/>
    <w:tmpl w:val="62B4EFAE"/>
    <w:lvl w:ilvl="0" w:tplc="83061DB2">
      <w:start w:val="1"/>
      <w:numFmt w:val="decimal"/>
      <w:lvlText w:val="2.%1"/>
      <w:lvlJc w:val="left"/>
      <w:pPr>
        <w:ind w:left="142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1649B3"/>
    <w:multiLevelType w:val="hybridMultilevel"/>
    <w:tmpl w:val="5E22B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70DAA"/>
    <w:multiLevelType w:val="multilevel"/>
    <w:tmpl w:val="B9766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0"/>
    <w:rsid w:val="0001603C"/>
    <w:rsid w:val="00022A64"/>
    <w:rsid w:val="00047C07"/>
    <w:rsid w:val="000510A9"/>
    <w:rsid w:val="00067832"/>
    <w:rsid w:val="00071DD7"/>
    <w:rsid w:val="0007484A"/>
    <w:rsid w:val="000821DC"/>
    <w:rsid w:val="000B53DC"/>
    <w:rsid w:val="000C7428"/>
    <w:rsid w:val="000D1073"/>
    <w:rsid w:val="000D1F16"/>
    <w:rsid w:val="000D344F"/>
    <w:rsid w:val="000E305B"/>
    <w:rsid w:val="000E4D45"/>
    <w:rsid w:val="000E6F4E"/>
    <w:rsid w:val="001070CD"/>
    <w:rsid w:val="00107690"/>
    <w:rsid w:val="00123ACD"/>
    <w:rsid w:val="0013602A"/>
    <w:rsid w:val="0015112F"/>
    <w:rsid w:val="0017593E"/>
    <w:rsid w:val="001822B8"/>
    <w:rsid w:val="00192B30"/>
    <w:rsid w:val="001940DB"/>
    <w:rsid w:val="00197AB0"/>
    <w:rsid w:val="001A2EB7"/>
    <w:rsid w:val="001A5318"/>
    <w:rsid w:val="001A7B35"/>
    <w:rsid w:val="001B2E39"/>
    <w:rsid w:val="001B39FE"/>
    <w:rsid w:val="001C28A0"/>
    <w:rsid w:val="001D3F5B"/>
    <w:rsid w:val="001D4CCF"/>
    <w:rsid w:val="001E71CA"/>
    <w:rsid w:val="00203E0B"/>
    <w:rsid w:val="00204FA0"/>
    <w:rsid w:val="00206FC3"/>
    <w:rsid w:val="00273893"/>
    <w:rsid w:val="00287F84"/>
    <w:rsid w:val="002911C3"/>
    <w:rsid w:val="002B09A5"/>
    <w:rsid w:val="002C5C93"/>
    <w:rsid w:val="002D7B0C"/>
    <w:rsid w:val="002E156C"/>
    <w:rsid w:val="00303F85"/>
    <w:rsid w:val="00312DE0"/>
    <w:rsid w:val="0031311C"/>
    <w:rsid w:val="003207B5"/>
    <w:rsid w:val="00321C31"/>
    <w:rsid w:val="0034091E"/>
    <w:rsid w:val="00353630"/>
    <w:rsid w:val="003570DA"/>
    <w:rsid w:val="00361BEA"/>
    <w:rsid w:val="00367035"/>
    <w:rsid w:val="003B32F3"/>
    <w:rsid w:val="003B6156"/>
    <w:rsid w:val="003B7FB6"/>
    <w:rsid w:val="003C5048"/>
    <w:rsid w:val="003E0FA8"/>
    <w:rsid w:val="003E1F0F"/>
    <w:rsid w:val="003F3BE5"/>
    <w:rsid w:val="0040658B"/>
    <w:rsid w:val="00426708"/>
    <w:rsid w:val="004274F7"/>
    <w:rsid w:val="004313A7"/>
    <w:rsid w:val="00437E90"/>
    <w:rsid w:val="004406B6"/>
    <w:rsid w:val="00446F4E"/>
    <w:rsid w:val="00473631"/>
    <w:rsid w:val="00483F89"/>
    <w:rsid w:val="00484C7C"/>
    <w:rsid w:val="004A55AC"/>
    <w:rsid w:val="004B0EB8"/>
    <w:rsid w:val="004B292F"/>
    <w:rsid w:val="004B5E7B"/>
    <w:rsid w:val="004C6FFE"/>
    <w:rsid w:val="004D4D31"/>
    <w:rsid w:val="004E56C0"/>
    <w:rsid w:val="004F6D8D"/>
    <w:rsid w:val="005025EF"/>
    <w:rsid w:val="0050534D"/>
    <w:rsid w:val="00505A7B"/>
    <w:rsid w:val="005232BB"/>
    <w:rsid w:val="00530048"/>
    <w:rsid w:val="005346BD"/>
    <w:rsid w:val="00535F53"/>
    <w:rsid w:val="00544F13"/>
    <w:rsid w:val="00557A6B"/>
    <w:rsid w:val="005635D7"/>
    <w:rsid w:val="00571167"/>
    <w:rsid w:val="00577EDD"/>
    <w:rsid w:val="0059391B"/>
    <w:rsid w:val="005A72F8"/>
    <w:rsid w:val="005C7D35"/>
    <w:rsid w:val="005E6592"/>
    <w:rsid w:val="005F23DC"/>
    <w:rsid w:val="005F7550"/>
    <w:rsid w:val="00605A94"/>
    <w:rsid w:val="006230B5"/>
    <w:rsid w:val="00625F6C"/>
    <w:rsid w:val="00632ED5"/>
    <w:rsid w:val="00632F30"/>
    <w:rsid w:val="00645AE3"/>
    <w:rsid w:val="00667B3F"/>
    <w:rsid w:val="006700BF"/>
    <w:rsid w:val="00674A06"/>
    <w:rsid w:val="00682338"/>
    <w:rsid w:val="00685B62"/>
    <w:rsid w:val="006A5FAA"/>
    <w:rsid w:val="006C1E76"/>
    <w:rsid w:val="006D67DD"/>
    <w:rsid w:val="006E6498"/>
    <w:rsid w:val="006F2940"/>
    <w:rsid w:val="00704154"/>
    <w:rsid w:val="007078FC"/>
    <w:rsid w:val="007117F7"/>
    <w:rsid w:val="007125F9"/>
    <w:rsid w:val="007213B2"/>
    <w:rsid w:val="007409E2"/>
    <w:rsid w:val="0075221B"/>
    <w:rsid w:val="00765958"/>
    <w:rsid w:val="00771781"/>
    <w:rsid w:val="00781B50"/>
    <w:rsid w:val="0078453A"/>
    <w:rsid w:val="007A319F"/>
    <w:rsid w:val="007B50E4"/>
    <w:rsid w:val="007B67F7"/>
    <w:rsid w:val="007D661F"/>
    <w:rsid w:val="007E033C"/>
    <w:rsid w:val="007E3693"/>
    <w:rsid w:val="0080360B"/>
    <w:rsid w:val="00815A07"/>
    <w:rsid w:val="008256C2"/>
    <w:rsid w:val="00843126"/>
    <w:rsid w:val="008677F4"/>
    <w:rsid w:val="00874969"/>
    <w:rsid w:val="00876108"/>
    <w:rsid w:val="008924F3"/>
    <w:rsid w:val="00896308"/>
    <w:rsid w:val="00896E6D"/>
    <w:rsid w:val="008A0102"/>
    <w:rsid w:val="008A072E"/>
    <w:rsid w:val="008B7E2E"/>
    <w:rsid w:val="008E55C8"/>
    <w:rsid w:val="008F42BB"/>
    <w:rsid w:val="008F55DC"/>
    <w:rsid w:val="008F6B69"/>
    <w:rsid w:val="00904584"/>
    <w:rsid w:val="00912766"/>
    <w:rsid w:val="0092550F"/>
    <w:rsid w:val="00932ED9"/>
    <w:rsid w:val="00935299"/>
    <w:rsid w:val="009547D9"/>
    <w:rsid w:val="009763B1"/>
    <w:rsid w:val="00977701"/>
    <w:rsid w:val="00984FAB"/>
    <w:rsid w:val="00990396"/>
    <w:rsid w:val="009A71B6"/>
    <w:rsid w:val="009A76B1"/>
    <w:rsid w:val="009D0D35"/>
    <w:rsid w:val="009D2588"/>
    <w:rsid w:val="009D410E"/>
    <w:rsid w:val="009E1F89"/>
    <w:rsid w:val="009F4AC9"/>
    <w:rsid w:val="00A04BD7"/>
    <w:rsid w:val="00A14D37"/>
    <w:rsid w:val="00A1530B"/>
    <w:rsid w:val="00A156F6"/>
    <w:rsid w:val="00A27CF4"/>
    <w:rsid w:val="00A3339A"/>
    <w:rsid w:val="00A421EC"/>
    <w:rsid w:val="00A45D91"/>
    <w:rsid w:val="00A573B8"/>
    <w:rsid w:val="00AA4CF4"/>
    <w:rsid w:val="00AA538F"/>
    <w:rsid w:val="00AB2D51"/>
    <w:rsid w:val="00AC54A9"/>
    <w:rsid w:val="00AC73E3"/>
    <w:rsid w:val="00AD187A"/>
    <w:rsid w:val="00AD4958"/>
    <w:rsid w:val="00AD575B"/>
    <w:rsid w:val="00AF067E"/>
    <w:rsid w:val="00B2107D"/>
    <w:rsid w:val="00B2492D"/>
    <w:rsid w:val="00B3648A"/>
    <w:rsid w:val="00B47CB3"/>
    <w:rsid w:val="00B53E9D"/>
    <w:rsid w:val="00B654C5"/>
    <w:rsid w:val="00B81243"/>
    <w:rsid w:val="00B834BA"/>
    <w:rsid w:val="00B8613F"/>
    <w:rsid w:val="00B862D9"/>
    <w:rsid w:val="00B91E31"/>
    <w:rsid w:val="00BB7AA6"/>
    <w:rsid w:val="00BC65AA"/>
    <w:rsid w:val="00BD244D"/>
    <w:rsid w:val="00BD60F8"/>
    <w:rsid w:val="00BE034F"/>
    <w:rsid w:val="00BF6491"/>
    <w:rsid w:val="00C01C81"/>
    <w:rsid w:val="00C11383"/>
    <w:rsid w:val="00C207B5"/>
    <w:rsid w:val="00C219B2"/>
    <w:rsid w:val="00C30077"/>
    <w:rsid w:val="00C3399B"/>
    <w:rsid w:val="00C369F1"/>
    <w:rsid w:val="00C421AD"/>
    <w:rsid w:val="00C50BB5"/>
    <w:rsid w:val="00C51634"/>
    <w:rsid w:val="00C523DF"/>
    <w:rsid w:val="00C551FB"/>
    <w:rsid w:val="00C661A3"/>
    <w:rsid w:val="00C67A07"/>
    <w:rsid w:val="00C71D1F"/>
    <w:rsid w:val="00C71F67"/>
    <w:rsid w:val="00C736D2"/>
    <w:rsid w:val="00C83028"/>
    <w:rsid w:val="00CA45A0"/>
    <w:rsid w:val="00CC476D"/>
    <w:rsid w:val="00CC4950"/>
    <w:rsid w:val="00CC562A"/>
    <w:rsid w:val="00CE5EEA"/>
    <w:rsid w:val="00CF4362"/>
    <w:rsid w:val="00D004BA"/>
    <w:rsid w:val="00D051DD"/>
    <w:rsid w:val="00D3426C"/>
    <w:rsid w:val="00D401B4"/>
    <w:rsid w:val="00D43EBC"/>
    <w:rsid w:val="00D51AC4"/>
    <w:rsid w:val="00D56C32"/>
    <w:rsid w:val="00D6526F"/>
    <w:rsid w:val="00D74C9C"/>
    <w:rsid w:val="00D86FC5"/>
    <w:rsid w:val="00D91802"/>
    <w:rsid w:val="00D93D70"/>
    <w:rsid w:val="00DB1482"/>
    <w:rsid w:val="00DC45A5"/>
    <w:rsid w:val="00DC4D89"/>
    <w:rsid w:val="00DD1D73"/>
    <w:rsid w:val="00DE248B"/>
    <w:rsid w:val="00DF54B9"/>
    <w:rsid w:val="00DF7A78"/>
    <w:rsid w:val="00E04ECC"/>
    <w:rsid w:val="00E07499"/>
    <w:rsid w:val="00E116BF"/>
    <w:rsid w:val="00E137E9"/>
    <w:rsid w:val="00E31B9B"/>
    <w:rsid w:val="00E37D21"/>
    <w:rsid w:val="00E4051F"/>
    <w:rsid w:val="00E40CD8"/>
    <w:rsid w:val="00E55BF6"/>
    <w:rsid w:val="00E61BA3"/>
    <w:rsid w:val="00E6275F"/>
    <w:rsid w:val="00E82DB8"/>
    <w:rsid w:val="00E93E52"/>
    <w:rsid w:val="00E94FCA"/>
    <w:rsid w:val="00EC0957"/>
    <w:rsid w:val="00EF57E3"/>
    <w:rsid w:val="00EF660F"/>
    <w:rsid w:val="00F00FFB"/>
    <w:rsid w:val="00F01BEB"/>
    <w:rsid w:val="00F07C35"/>
    <w:rsid w:val="00F20107"/>
    <w:rsid w:val="00F25A76"/>
    <w:rsid w:val="00F35774"/>
    <w:rsid w:val="00F373A1"/>
    <w:rsid w:val="00F4114D"/>
    <w:rsid w:val="00F43CCF"/>
    <w:rsid w:val="00F45169"/>
    <w:rsid w:val="00F50952"/>
    <w:rsid w:val="00F65672"/>
    <w:rsid w:val="00F71C4E"/>
    <w:rsid w:val="00F73F16"/>
    <w:rsid w:val="00F850F6"/>
    <w:rsid w:val="00FA0E02"/>
    <w:rsid w:val="00FA355D"/>
    <w:rsid w:val="00FA5E86"/>
    <w:rsid w:val="00FA5E9D"/>
    <w:rsid w:val="00FB2C1B"/>
    <w:rsid w:val="00FB4FE4"/>
    <w:rsid w:val="00FC769B"/>
    <w:rsid w:val="00FD0F5D"/>
    <w:rsid w:val="00FE5E1A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28A0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8A0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unhideWhenUsed/>
    <w:rsid w:val="001C28A0"/>
    <w:rPr>
      <w:vertAlign w:val="superscript"/>
    </w:rPr>
  </w:style>
  <w:style w:type="character" w:customStyle="1" w:styleId="Hyperlink1">
    <w:name w:val="Hyperlink1"/>
    <w:basedOn w:val="DefaultParagraphFont"/>
    <w:unhideWhenUsed/>
    <w:rsid w:val="001C28A0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C28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50"/>
  </w:style>
  <w:style w:type="character" w:styleId="CommentReference">
    <w:name w:val="annotation reference"/>
    <w:basedOn w:val="DefaultParagraphFont"/>
    <w:rsid w:val="005F7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rsid w:val="005F755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TableGrid">
    <w:name w:val="Table Grid"/>
    <w:basedOn w:val="TableNormal"/>
    <w:rsid w:val="005F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26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396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396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fault">
    <w:name w:val="Default"/>
    <w:rsid w:val="005A72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0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28A0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8A0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unhideWhenUsed/>
    <w:rsid w:val="001C28A0"/>
    <w:rPr>
      <w:vertAlign w:val="superscript"/>
    </w:rPr>
  </w:style>
  <w:style w:type="character" w:customStyle="1" w:styleId="Hyperlink1">
    <w:name w:val="Hyperlink1"/>
    <w:basedOn w:val="DefaultParagraphFont"/>
    <w:unhideWhenUsed/>
    <w:rsid w:val="001C28A0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C28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50"/>
  </w:style>
  <w:style w:type="character" w:styleId="CommentReference">
    <w:name w:val="annotation reference"/>
    <w:basedOn w:val="DefaultParagraphFont"/>
    <w:rsid w:val="005F7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rsid w:val="005F755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TableGrid">
    <w:name w:val="Table Grid"/>
    <w:basedOn w:val="TableNormal"/>
    <w:rsid w:val="005F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26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396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396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fault">
    <w:name w:val="Default"/>
    <w:rsid w:val="005A72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0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g-rail.eu/irg/documents/position-papers/199,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FDB-F587-4008-B4C4-2FBAE53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Sotirova</dc:creator>
  <cp:lastModifiedBy>Ivan Stoykov</cp:lastModifiedBy>
  <cp:revision>4</cp:revision>
  <dcterms:created xsi:type="dcterms:W3CDTF">2019-10-25T12:10:00Z</dcterms:created>
  <dcterms:modified xsi:type="dcterms:W3CDTF">2019-10-25T12:45:00Z</dcterms:modified>
</cp:coreProperties>
</file>